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C35" w:rsidRPr="001F5C35" w:rsidRDefault="001F5C35" w:rsidP="001F5C35">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1F5C35">
        <w:rPr>
          <w:rFonts w:ascii="Arial" w:eastAsia="Times New Roman" w:hAnsi="Arial" w:cs="Arial"/>
          <w:b/>
          <w:bCs/>
          <w:color w:val="000066"/>
          <w:kern w:val="36"/>
          <w:sz w:val="28"/>
          <w:szCs w:val="28"/>
          <w:lang w:eastAsia="en-AU"/>
        </w:rPr>
        <w:t>Costing Programs and Services</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drawing>
          <wp:anchor distT="0" distB="0" distL="95250" distR="95250" simplePos="0" relativeHeight="251658240" behindDoc="0" locked="0" layoutInCell="1" allowOverlap="0">
            <wp:simplePos x="0" y="0"/>
            <wp:positionH relativeFrom="column">
              <wp:align>right</wp:align>
            </wp:positionH>
            <wp:positionV relativeFrom="line">
              <wp:posOffset>0</wp:posOffset>
            </wp:positionV>
            <wp:extent cx="2638425" cy="2105025"/>
            <wp:effectExtent l="19050" t="0" r="9525" b="0"/>
            <wp:wrapSquare wrapText="bothSides"/>
            <wp:docPr id="2" name="Picture 2" descr="Illustration of Break-Even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lustration of Break-Even Analysis"/>
                    <pic:cNvPicPr>
                      <a:picLocks noChangeAspect="1" noChangeArrowheads="1"/>
                    </pic:cNvPicPr>
                  </pic:nvPicPr>
                  <pic:blipFill>
                    <a:blip r:embed="rId5" cstate="print"/>
                    <a:srcRect/>
                    <a:stretch>
                      <a:fillRect/>
                    </a:stretch>
                  </pic:blipFill>
                  <pic:spPr bwMode="auto">
                    <a:xfrm>
                      <a:off x="0" y="0"/>
                      <a:ext cx="2638425" cy="2105025"/>
                    </a:xfrm>
                    <a:prstGeom prst="rect">
                      <a:avLst/>
                    </a:prstGeom>
                    <a:noFill/>
                    <a:ln w="9525">
                      <a:noFill/>
                      <a:miter lim="800000"/>
                      <a:headEnd/>
                      <a:tailEnd/>
                    </a:ln>
                  </pic:spPr>
                </pic:pic>
              </a:graphicData>
            </a:graphic>
          </wp:anchor>
        </w:drawing>
      </w:r>
      <w:r w:rsidRPr="001F5C35">
        <w:rPr>
          <w:rFonts w:ascii="Trebuchet MS" w:eastAsia="Times New Roman" w:hAnsi="Trebuchet MS" w:cs="Times New Roman"/>
          <w:color w:val="000066"/>
          <w:sz w:val="20"/>
          <w:szCs w:val="20"/>
          <w:lang w:eastAsia="en-AU"/>
        </w:rPr>
        <w:t xml:space="preserve">Your job, as an administrator of a sport or recreation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is to: </w:t>
      </w:r>
    </w:p>
    <w:p w:rsidR="001F5C35" w:rsidRPr="001F5C35" w:rsidRDefault="001F5C35" w:rsidP="001F5C35">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Plan, </w:t>
      </w:r>
      <w:proofErr w:type="spellStart"/>
      <w:r w:rsidRPr="001F5C35">
        <w:rPr>
          <w:rFonts w:ascii="Trebuchet MS" w:eastAsia="Times New Roman" w:hAnsi="Trebuchet MS" w:cs="Times New Roman"/>
          <w:color w:val="000066"/>
          <w:sz w:val="20"/>
          <w:szCs w:val="20"/>
          <w:lang w:eastAsia="en-AU"/>
        </w:rPr>
        <w:t>organise</w:t>
      </w:r>
      <w:proofErr w:type="spellEnd"/>
      <w:r w:rsidRPr="001F5C35">
        <w:rPr>
          <w:rFonts w:ascii="Trebuchet MS" w:eastAsia="Times New Roman" w:hAnsi="Trebuchet MS" w:cs="Times New Roman"/>
          <w:color w:val="000066"/>
          <w:sz w:val="20"/>
          <w:szCs w:val="20"/>
          <w:lang w:eastAsia="en-AU"/>
        </w:rPr>
        <w:t xml:space="preserve"> and deliver services, events, programs and facilities to meet the needs of your membership / customer base within the limits of funding achievable. </w:t>
      </w:r>
    </w:p>
    <w:p w:rsidR="001F5C35" w:rsidRPr="001F5C35" w:rsidRDefault="001F5C35" w:rsidP="001F5C35">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Ensure that the funds required by your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are obtained and expended appropriately, and as planned.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In order to carry out the above two tasks it is essential that you calculate how much funding your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needs to provide the desired </w:t>
      </w:r>
      <w:hyperlink r:id="rId6" w:tooltip="services" w:history="1">
        <w:r w:rsidRPr="001F5C35">
          <w:rPr>
            <w:rFonts w:ascii="Trebuchet MS" w:eastAsia="Times New Roman" w:hAnsi="Trebuchet MS" w:cs="Times New Roman"/>
            <w:color w:val="0000FF"/>
            <w:sz w:val="20"/>
            <w:szCs w:val="20"/>
            <w:u w:val="single"/>
            <w:lang w:eastAsia="en-AU"/>
          </w:rPr>
          <w:t>services</w:t>
        </w:r>
      </w:hyperlink>
      <w:r w:rsidRPr="001F5C35">
        <w:rPr>
          <w:rFonts w:ascii="Trebuchet MS" w:eastAsia="Times New Roman" w:hAnsi="Trebuchet MS" w:cs="Times New Roman"/>
          <w:color w:val="000066"/>
          <w:sz w:val="20"/>
          <w:szCs w:val="20"/>
          <w:lang w:eastAsia="en-AU"/>
        </w:rPr>
        <w:t>, events, programs and facilities. This is a very complex budgeting problem and there really is no short cut.</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Every expense incurred by your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will either be: </w:t>
      </w:r>
    </w:p>
    <w:p w:rsidR="001F5C35" w:rsidRPr="001F5C35" w:rsidRDefault="001F5C35" w:rsidP="001F5C35">
      <w:pPr>
        <w:numPr>
          <w:ilvl w:val="0"/>
          <w:numId w:val="2"/>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 direct cost - a cost that is directly attributable to a service, event, program or other activity carried out by the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w:t>
      </w:r>
    </w:p>
    <w:p w:rsidR="001F5C35" w:rsidRPr="001F5C35" w:rsidRDefault="001F5C35" w:rsidP="001F5C35">
      <w:pPr>
        <w:numPr>
          <w:ilvl w:val="0"/>
          <w:numId w:val="2"/>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An overhead - a cost that cannot be directly attributed to a service, event, program or other activity.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b/>
          <w:bCs/>
          <w:color w:val="000066"/>
          <w:sz w:val="20"/>
          <w:szCs w:val="20"/>
          <w:lang w:eastAsia="en-AU"/>
        </w:rPr>
        <w:t xml:space="preserve">Direct Costs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During the budgeting process you will have to look closely at every event, program and service that you intend to provide and work out every direct cost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Examples of direct costs include: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Trophies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Hire of staff specifically for an event or program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Travel costs associated with attending or providing a service, event or program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Advertising and other promotion costs that specifically relate to an event or program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Costs of hiring venues/ facilities for events and programs </w:t>
      </w:r>
    </w:p>
    <w:p w:rsidR="001F5C35" w:rsidRPr="001F5C35" w:rsidRDefault="001F5C35" w:rsidP="001F5C35">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Costs of hiring or </w:t>
      </w:r>
      <w:hyperlink r:id="rId7" w:tooltip="The purchasing process" w:history="1">
        <w:r w:rsidRPr="001F5C35">
          <w:rPr>
            <w:rFonts w:ascii="Trebuchet MS" w:eastAsia="Times New Roman" w:hAnsi="Trebuchet MS" w:cs="Times New Roman"/>
            <w:color w:val="0000FF"/>
            <w:sz w:val="20"/>
            <w:u w:val="single"/>
            <w:lang w:eastAsia="en-AU"/>
          </w:rPr>
          <w:t>purchasing</w:t>
        </w:r>
      </w:hyperlink>
      <w:r w:rsidRPr="001F5C35">
        <w:rPr>
          <w:rFonts w:ascii="Trebuchet MS" w:eastAsia="Times New Roman" w:hAnsi="Trebuchet MS" w:cs="Times New Roman"/>
          <w:color w:val="000066"/>
          <w:sz w:val="20"/>
          <w:szCs w:val="20"/>
          <w:lang w:eastAsia="en-AU"/>
        </w:rPr>
        <w:t xml:space="preserve"> equipment for an event or program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b/>
          <w:bCs/>
          <w:color w:val="000066"/>
          <w:sz w:val="20"/>
          <w:szCs w:val="20"/>
          <w:lang w:eastAsia="en-AU"/>
        </w:rPr>
        <w:t xml:space="preserve">Overheads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There will be many costs incurred by an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that cannot be directly attributed to specific events, programs and </w:t>
      </w:r>
      <w:hyperlink r:id="rId8" w:tooltip="services" w:history="1">
        <w:r w:rsidRPr="001F5C35">
          <w:rPr>
            <w:rFonts w:ascii="Trebuchet MS" w:eastAsia="Times New Roman" w:hAnsi="Trebuchet MS" w:cs="Times New Roman"/>
            <w:color w:val="0000FF"/>
            <w:sz w:val="20"/>
            <w:szCs w:val="20"/>
            <w:u w:val="single"/>
            <w:lang w:eastAsia="en-AU"/>
          </w:rPr>
          <w:t>services</w:t>
        </w:r>
      </w:hyperlink>
      <w:r w:rsidRPr="001F5C35">
        <w:rPr>
          <w:rFonts w:ascii="Trebuchet MS" w:eastAsia="Times New Roman" w:hAnsi="Trebuchet MS" w:cs="Times New Roman"/>
          <w:color w:val="000066"/>
          <w:sz w:val="20"/>
          <w:szCs w:val="20"/>
          <w:lang w:eastAsia="en-AU"/>
        </w:rPr>
        <w:t xml:space="preserve">. It may well be the case that the </w:t>
      </w:r>
      <w:proofErr w:type="spellStart"/>
      <w:r w:rsidRPr="001F5C35">
        <w:rPr>
          <w:rFonts w:ascii="Trebuchet MS" w:eastAsia="Times New Roman" w:hAnsi="Trebuchet MS" w:cs="Times New Roman"/>
          <w:color w:val="000066"/>
          <w:sz w:val="20"/>
          <w:szCs w:val="20"/>
          <w:lang w:eastAsia="en-AU"/>
        </w:rPr>
        <w:t>organisation's</w:t>
      </w:r>
      <w:proofErr w:type="spellEnd"/>
      <w:r w:rsidRPr="001F5C35">
        <w:rPr>
          <w:rFonts w:ascii="Trebuchet MS" w:eastAsia="Times New Roman" w:hAnsi="Trebuchet MS" w:cs="Times New Roman"/>
          <w:color w:val="000066"/>
          <w:sz w:val="20"/>
          <w:szCs w:val="20"/>
          <w:lang w:eastAsia="en-AU"/>
        </w:rPr>
        <w:t xml:space="preserve"> overheads are </w:t>
      </w:r>
      <w:r w:rsidRPr="001F5C35">
        <w:rPr>
          <w:rFonts w:ascii="Trebuchet MS" w:eastAsia="Times New Roman" w:hAnsi="Trebuchet MS" w:cs="Times New Roman"/>
          <w:color w:val="000066"/>
          <w:sz w:val="20"/>
          <w:szCs w:val="20"/>
          <w:lang w:eastAsia="en-AU"/>
        </w:rPr>
        <w:lastRenderedPageBreak/>
        <w:t xml:space="preserve">proportionately greater than direct costs. Therefore it is extremely important to ensure that the budgeting process takes account of all overheads.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Examples of overheads include: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Lease of the office (and office equipment if applicable)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Administration and secretarial salaries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Office costs such as telephones, postage, </w:t>
      </w:r>
      <w:proofErr w:type="spellStart"/>
      <w:r w:rsidRPr="001F5C35">
        <w:rPr>
          <w:rFonts w:ascii="Trebuchet MS" w:eastAsia="Times New Roman" w:hAnsi="Trebuchet MS" w:cs="Times New Roman"/>
          <w:color w:val="000066"/>
          <w:sz w:val="20"/>
          <w:szCs w:val="20"/>
          <w:lang w:eastAsia="en-AU"/>
        </w:rPr>
        <w:t>photocoping</w:t>
      </w:r>
      <w:proofErr w:type="spellEnd"/>
      <w:r w:rsidRPr="001F5C35">
        <w:rPr>
          <w:rFonts w:ascii="Trebuchet MS" w:eastAsia="Times New Roman" w:hAnsi="Trebuchet MS" w:cs="Times New Roman"/>
          <w:color w:val="000066"/>
          <w:sz w:val="20"/>
          <w:szCs w:val="20"/>
          <w:lang w:eastAsia="en-AU"/>
        </w:rPr>
        <w:t xml:space="preserve"> and general printing (i.e. association newsletters) for administrative reasons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hyperlink r:id="rId9" w:tooltip="Depreciation" w:history="1">
        <w:r w:rsidRPr="001F5C35">
          <w:rPr>
            <w:rFonts w:ascii="Trebuchet MS" w:eastAsia="Times New Roman" w:hAnsi="Trebuchet MS" w:cs="Times New Roman"/>
            <w:color w:val="0000FF"/>
            <w:sz w:val="20"/>
            <w:u w:val="single"/>
            <w:lang w:eastAsia="en-AU"/>
          </w:rPr>
          <w:t>Depreciation</w:t>
        </w:r>
      </w:hyperlink>
      <w:r w:rsidRPr="001F5C35">
        <w:rPr>
          <w:rFonts w:ascii="Trebuchet MS" w:eastAsia="Times New Roman" w:hAnsi="Trebuchet MS" w:cs="Times New Roman"/>
          <w:color w:val="000066"/>
          <w:sz w:val="20"/>
          <w:szCs w:val="20"/>
          <w:lang w:eastAsia="en-AU"/>
        </w:rPr>
        <w:t xml:space="preserve"> of equipment, motor vehicles and buildings etc.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Audit costs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Insurance </w:t>
      </w:r>
    </w:p>
    <w:p w:rsidR="001F5C35" w:rsidRPr="001F5C35" w:rsidRDefault="001F5C35" w:rsidP="001F5C35">
      <w:pPr>
        <w:numPr>
          <w:ilvl w:val="0"/>
          <w:numId w:val="4"/>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Building maintenance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Providing a reasonably good forecast of the total cost of overheads will depend on: </w:t>
      </w:r>
    </w:p>
    <w:p w:rsidR="001F5C35" w:rsidRPr="001F5C35" w:rsidRDefault="001F5C35" w:rsidP="001F5C35">
      <w:pPr>
        <w:numPr>
          <w:ilvl w:val="0"/>
          <w:numId w:val="5"/>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Accurate financial records of previous years </w:t>
      </w:r>
    </w:p>
    <w:p w:rsidR="001F5C35" w:rsidRPr="001F5C35" w:rsidRDefault="001F5C35" w:rsidP="001F5C35">
      <w:pPr>
        <w:numPr>
          <w:ilvl w:val="0"/>
          <w:numId w:val="5"/>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Understanding the factors that tend to increase overheads i.e. engaging more employees, moving to bigger premises, increasing the number of members of the </w:t>
      </w:r>
      <w:proofErr w:type="spellStart"/>
      <w:r w:rsidRPr="001F5C35">
        <w:rPr>
          <w:rFonts w:ascii="Trebuchet MS" w:eastAsia="Times New Roman" w:hAnsi="Trebuchet MS" w:cs="Times New Roman"/>
          <w:color w:val="000066"/>
          <w:sz w:val="20"/>
          <w:szCs w:val="20"/>
          <w:lang w:eastAsia="en-AU"/>
        </w:rPr>
        <w:t>organisation</w:t>
      </w:r>
      <w:proofErr w:type="spellEnd"/>
      <w:r w:rsidRPr="001F5C35">
        <w:rPr>
          <w:rFonts w:ascii="Trebuchet MS" w:eastAsia="Times New Roman" w:hAnsi="Trebuchet MS" w:cs="Times New Roman"/>
          <w:color w:val="000066"/>
          <w:sz w:val="20"/>
          <w:szCs w:val="20"/>
          <w:lang w:eastAsia="en-AU"/>
        </w:rPr>
        <w:t xml:space="preserve">, etc. </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xml:space="preserve">In real life the budgeting process is so complex that it must be divided up into smaller more manageable portions and allocated to many individuals who might have specific knowledge of the </w:t>
      </w:r>
      <w:proofErr w:type="spellStart"/>
      <w:r w:rsidRPr="001F5C35">
        <w:rPr>
          <w:rFonts w:ascii="Trebuchet MS" w:eastAsia="Times New Roman" w:hAnsi="Trebuchet MS" w:cs="Times New Roman"/>
          <w:color w:val="000066"/>
          <w:sz w:val="20"/>
          <w:szCs w:val="20"/>
          <w:lang w:eastAsia="en-AU"/>
        </w:rPr>
        <w:t>organisation's</w:t>
      </w:r>
      <w:proofErr w:type="spellEnd"/>
      <w:r w:rsidRPr="001F5C35">
        <w:rPr>
          <w:rFonts w:ascii="Trebuchet MS" w:eastAsia="Times New Roman" w:hAnsi="Trebuchet MS" w:cs="Times New Roman"/>
          <w:color w:val="000066"/>
          <w:sz w:val="20"/>
          <w:szCs w:val="20"/>
          <w:lang w:eastAsia="en-AU"/>
        </w:rPr>
        <w:t xml:space="preserve"> programs.</w:t>
      </w:r>
    </w:p>
    <w:p w:rsidR="001F5C35" w:rsidRPr="001F5C35" w:rsidRDefault="001F5C35" w:rsidP="001F5C3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F5C35">
        <w:rPr>
          <w:rFonts w:ascii="Trebuchet MS" w:eastAsia="Times New Roman" w:hAnsi="Trebuchet MS" w:cs="Times New Roman"/>
          <w:color w:val="000066"/>
          <w:sz w:val="20"/>
          <w:szCs w:val="20"/>
          <w:lang w:eastAsia="en-AU"/>
        </w:rPr>
        <w:t> </w:t>
      </w:r>
    </w:p>
    <w:p w:rsidR="008A2CDD" w:rsidRDefault="001F5C35">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6285C"/>
    <w:multiLevelType w:val="multilevel"/>
    <w:tmpl w:val="040A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43AC8"/>
    <w:multiLevelType w:val="multilevel"/>
    <w:tmpl w:val="AC9E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632055"/>
    <w:multiLevelType w:val="multilevel"/>
    <w:tmpl w:val="05169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DF55ED"/>
    <w:multiLevelType w:val="multilevel"/>
    <w:tmpl w:val="4AFC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B6189B"/>
    <w:multiLevelType w:val="multilevel"/>
    <w:tmpl w:val="43FEF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F5C35"/>
    <w:rsid w:val="001F5C35"/>
    <w:rsid w:val="008A2CDD"/>
    <w:rsid w:val="00B02E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1F5C35"/>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C35"/>
    <w:rPr>
      <w:rFonts w:ascii="Arial" w:eastAsia="Times New Roman" w:hAnsi="Arial" w:cs="Arial"/>
      <w:b/>
      <w:bCs/>
      <w:color w:val="000066"/>
      <w:kern w:val="36"/>
      <w:sz w:val="28"/>
      <w:szCs w:val="28"/>
      <w:lang w:eastAsia="en-AU"/>
    </w:rPr>
  </w:style>
  <w:style w:type="character" w:styleId="Hyperlink">
    <w:name w:val="Hyperlink"/>
    <w:basedOn w:val="DefaultParagraphFont"/>
    <w:uiPriority w:val="99"/>
    <w:semiHidden/>
    <w:unhideWhenUsed/>
    <w:rsid w:val="001F5C35"/>
    <w:rPr>
      <w:color w:val="0000FF"/>
      <w:u w:val="single"/>
    </w:rPr>
  </w:style>
  <w:style w:type="paragraph" w:styleId="NormalWeb">
    <w:name w:val="Normal (Web)"/>
    <w:basedOn w:val="Normal"/>
    <w:uiPriority w:val="99"/>
    <w:semiHidden/>
    <w:unhideWhenUsed/>
    <w:rsid w:val="001F5C35"/>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s>
</file>

<file path=word/webSettings.xml><?xml version="1.0" encoding="utf-8"?>
<w:webSettings xmlns:r="http://schemas.openxmlformats.org/officeDocument/2006/relationships" xmlns:w="http://schemas.openxmlformats.org/wordprocessingml/2006/main">
  <w:divs>
    <w:div w:id="623463205">
      <w:bodyDiv w:val="1"/>
      <w:marLeft w:val="0"/>
      <w:marRight w:val="0"/>
      <w:marTop w:val="0"/>
      <w:marBottom w:val="0"/>
      <w:divBdr>
        <w:top w:val="none" w:sz="0" w:space="0" w:color="auto"/>
        <w:left w:val="none" w:sz="0" w:space="0" w:color="auto"/>
        <w:bottom w:val="none" w:sz="0" w:space="0" w:color="auto"/>
        <w:right w:val="none" w:sz="0" w:space="0" w:color="auto"/>
      </w:divBdr>
      <w:divsChild>
        <w:div w:id="948396163">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oisaac.com/quality/top058.htm" TargetMode="External"/><Relationship Id="rId3" Type="http://schemas.openxmlformats.org/officeDocument/2006/relationships/settings" Target="settings.xml"/><Relationship Id="rId7" Type="http://schemas.openxmlformats.org/officeDocument/2006/relationships/hyperlink" Target="http://www.leoisaac.com/fin/fin04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oisaac.com/quality/top058.htm"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oisaac.com/fin/fin05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2012-11-04T12:28:00Z</dcterms:created>
  <dcterms:modified xsi:type="dcterms:W3CDTF">2012-11-04T12:29:00Z</dcterms:modified>
</cp:coreProperties>
</file>