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3685" w:rsidRPr="000D3685" w:rsidRDefault="000D3685" w:rsidP="000D3685">
      <w:pPr>
        <w:spacing w:after="225" w:line="240" w:lineRule="auto"/>
        <w:outlineLvl w:val="0"/>
        <w:rPr>
          <w:rFonts w:ascii="Arial" w:eastAsia="Times New Roman" w:hAnsi="Arial" w:cs="Arial"/>
          <w:b/>
          <w:bCs/>
          <w:kern w:val="36"/>
          <w:sz w:val="42"/>
          <w:szCs w:val="42"/>
          <w:lang w:eastAsia="en-AU"/>
        </w:rPr>
      </w:pPr>
      <w:r w:rsidRPr="000D3685">
        <w:rPr>
          <w:rFonts w:ascii="Arial" w:eastAsia="Times New Roman" w:hAnsi="Arial" w:cs="Arial"/>
          <w:b/>
          <w:bCs/>
          <w:kern w:val="36"/>
          <w:sz w:val="42"/>
          <w:szCs w:val="42"/>
          <w:lang w:eastAsia="en-AU"/>
        </w:rPr>
        <w:t>Design of Grounding / Earthing System in a Substation Grid</w:t>
      </w:r>
    </w:p>
    <w:p w:rsidR="000D3685" w:rsidRPr="000D3685" w:rsidRDefault="000D3685" w:rsidP="000D3685">
      <w:pPr>
        <w:spacing w:after="0" w:line="360" w:lineRule="atLeast"/>
        <w:rPr>
          <w:rFonts w:ascii="Times New Roman" w:eastAsia="Times New Roman" w:hAnsi="Times New Roman" w:cs="Times New Roman"/>
          <w:color w:val="333333"/>
          <w:sz w:val="18"/>
          <w:szCs w:val="18"/>
          <w:lang w:eastAsia="en-AU"/>
        </w:rPr>
      </w:pPr>
      <w:hyperlink r:id="rId7" w:tooltip="Electrical Technology" w:history="1">
        <w:r w:rsidRPr="000D3685">
          <w:rPr>
            <w:rFonts w:ascii="Times New Roman" w:eastAsia="Times New Roman" w:hAnsi="Times New Roman" w:cs="Times New Roman"/>
            <w:b/>
            <w:bCs/>
            <w:color w:val="333333"/>
            <w:sz w:val="18"/>
            <w:szCs w:val="18"/>
            <w:bdr w:val="none" w:sz="0" w:space="0" w:color="auto" w:frame="1"/>
            <w:lang w:eastAsia="en-AU"/>
          </w:rPr>
          <w:t>Electrical Technology</w:t>
        </w:r>
      </w:hyperlink>
    </w:p>
    <w:p w:rsidR="000D3685" w:rsidRPr="000D3685" w:rsidRDefault="000D3685" w:rsidP="000D3685">
      <w:pPr>
        <w:spacing w:after="0" w:line="360" w:lineRule="atLeast"/>
        <w:rPr>
          <w:rFonts w:ascii="Times New Roman" w:eastAsia="Times New Roman" w:hAnsi="Times New Roman" w:cs="Times New Roman"/>
          <w:color w:val="333333"/>
          <w:sz w:val="18"/>
          <w:szCs w:val="18"/>
          <w:lang w:eastAsia="en-AU"/>
        </w:rPr>
      </w:pPr>
      <w:r w:rsidRPr="000D3685">
        <w:rPr>
          <w:rFonts w:ascii="Times New Roman" w:eastAsia="Times New Roman" w:hAnsi="Times New Roman" w:cs="Times New Roman"/>
          <w:color w:val="333333"/>
          <w:sz w:val="18"/>
          <w:szCs w:val="18"/>
          <w:bdr w:val="none" w:sz="0" w:space="0" w:color="auto" w:frame="1"/>
          <w:lang w:eastAsia="en-AU"/>
        </w:rPr>
        <w:t>2 4 minutes read</w:t>
      </w:r>
    </w:p>
    <w:p w:rsidR="000D3685" w:rsidRPr="000D3685" w:rsidRDefault="000D3685" w:rsidP="000D3685">
      <w:pPr>
        <w:spacing w:after="0" w:line="240" w:lineRule="auto"/>
        <w:jc w:val="center"/>
        <w:outlineLvl w:val="1"/>
        <w:rPr>
          <w:rFonts w:ascii="Arial" w:eastAsia="Times New Roman" w:hAnsi="Arial" w:cs="Arial"/>
          <w:b/>
          <w:bCs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8"/>
          <w:szCs w:val="28"/>
          <w:bdr w:val="none" w:sz="0" w:space="0" w:color="auto" w:frame="1"/>
          <w:lang w:eastAsia="en-AU"/>
        </w:rPr>
        <w:t>Design of Earthing / Grounding System in a Substation Grid</w:t>
      </w:r>
    </w:p>
    <w:p w:rsidR="000D3685" w:rsidRPr="000D3685" w:rsidRDefault="000D3685" w:rsidP="000D3685">
      <w:pPr>
        <w:shd w:val="clear" w:color="auto" w:fill="FFFFFF"/>
        <w:spacing w:after="0" w:line="240" w:lineRule="auto"/>
        <w:textAlignment w:val="center"/>
        <w:rPr>
          <w:rFonts w:ascii="Arial" w:eastAsia="Times New Roman" w:hAnsi="Arial" w:cs="Arial"/>
          <w:color w:val="2A292E"/>
          <w:sz w:val="29"/>
          <w:szCs w:val="29"/>
          <w:lang w:eastAsia="en-AU"/>
        </w:rPr>
      </w:pPr>
      <w:r w:rsidRPr="000D3685">
        <w:rPr>
          <w:rFonts w:ascii="Arial" w:eastAsia="Times New Roman" w:hAnsi="Arial" w:cs="Arial"/>
          <w:color w:val="2A292E"/>
          <w:sz w:val="29"/>
          <w:szCs w:val="29"/>
          <w:lang w:eastAsia="en-AU"/>
        </w:rPr>
        <w:t>Table of Contents</w:t>
      </w:r>
    </w:p>
    <w:p w:rsidR="000D3685" w:rsidRPr="000D3685" w:rsidRDefault="000D3685" w:rsidP="000D3685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2C2F34"/>
          <w:sz w:val="23"/>
          <w:szCs w:val="23"/>
          <w:lang w:eastAsia="en-AU"/>
        </w:rPr>
      </w:pPr>
      <w:hyperlink r:id="rId8" w:anchor="introduction-to-substation-earthing-grid" w:tooltip="Introduction to Substation Earthing Grid &#10;" w:history="1">
        <w:r w:rsidRPr="000D3685">
          <w:rPr>
            <w:rFonts w:ascii="Arial" w:eastAsia="Times New Roman" w:hAnsi="Arial" w:cs="Arial"/>
            <w:color w:val="666666"/>
            <w:sz w:val="23"/>
            <w:szCs w:val="23"/>
            <w:bdr w:val="none" w:sz="0" w:space="0" w:color="auto" w:frame="1"/>
            <w:lang w:eastAsia="en-AU"/>
          </w:rPr>
          <w:t>Introduction to Substation Earthing Grid</w:t>
        </w:r>
      </w:hyperlink>
    </w:p>
    <w:p w:rsidR="000D3685" w:rsidRPr="000D3685" w:rsidRDefault="000D3685" w:rsidP="000D3685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2C2F34"/>
          <w:sz w:val="23"/>
          <w:szCs w:val="23"/>
          <w:lang w:eastAsia="en-AU"/>
        </w:rPr>
      </w:pPr>
      <w:hyperlink r:id="rId9" w:anchor="important-formulas-for-designing-a-substation-grid-earthing-system" w:tooltip="Important formulas for Designing a Substation Grid Earthing System" w:history="1">
        <w:r w:rsidRPr="000D3685">
          <w:rPr>
            <w:rFonts w:ascii="Arial" w:eastAsia="Times New Roman" w:hAnsi="Arial" w:cs="Arial"/>
            <w:color w:val="666666"/>
            <w:sz w:val="23"/>
            <w:szCs w:val="23"/>
            <w:bdr w:val="none" w:sz="0" w:space="0" w:color="auto" w:frame="1"/>
            <w:lang w:eastAsia="en-AU"/>
          </w:rPr>
          <w:t>Important formulas for Designing a Substation Grid Earthing System</w:t>
        </w:r>
      </w:hyperlink>
    </w:p>
    <w:p w:rsidR="000D3685" w:rsidRPr="000D3685" w:rsidRDefault="000D3685" w:rsidP="000D3685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2C2F34"/>
          <w:sz w:val="23"/>
          <w:szCs w:val="23"/>
          <w:lang w:eastAsia="en-AU"/>
        </w:rPr>
      </w:pPr>
      <w:hyperlink r:id="rId10" w:anchor="resistance-of-the-earth-grid" w:tooltip="Resistance of the Earth Grid" w:history="1">
        <w:r w:rsidRPr="000D3685">
          <w:rPr>
            <w:rFonts w:ascii="Arial" w:eastAsia="Times New Roman" w:hAnsi="Arial" w:cs="Arial"/>
            <w:color w:val="666666"/>
            <w:sz w:val="23"/>
            <w:szCs w:val="23"/>
            <w:bdr w:val="none" w:sz="0" w:space="0" w:color="auto" w:frame="1"/>
            <w:lang w:eastAsia="en-AU"/>
          </w:rPr>
          <w:t>Resistance of the Earth Grid</w:t>
        </w:r>
      </w:hyperlink>
    </w:p>
    <w:p w:rsidR="000D3685" w:rsidRPr="000D3685" w:rsidRDefault="000D3685" w:rsidP="000D3685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2C2F34"/>
          <w:sz w:val="23"/>
          <w:szCs w:val="23"/>
          <w:lang w:eastAsia="en-AU"/>
        </w:rPr>
      </w:pPr>
      <w:hyperlink r:id="rId11" w:anchor="substation-earthing-grid" w:tooltip="Substation Earthing Grid" w:history="1">
        <w:r w:rsidRPr="000D3685">
          <w:rPr>
            <w:rFonts w:ascii="Arial" w:eastAsia="Times New Roman" w:hAnsi="Arial" w:cs="Arial"/>
            <w:color w:val="666666"/>
            <w:sz w:val="23"/>
            <w:szCs w:val="23"/>
            <w:bdr w:val="none" w:sz="0" w:space="0" w:color="auto" w:frame="1"/>
            <w:lang w:eastAsia="en-AU"/>
          </w:rPr>
          <w:t>Substation Earthing Grid</w:t>
        </w:r>
      </w:hyperlink>
    </w:p>
    <w:p w:rsidR="000D3685" w:rsidRPr="000D3685" w:rsidRDefault="000D3685" w:rsidP="000D3685">
      <w:pPr>
        <w:numPr>
          <w:ilvl w:val="1"/>
          <w:numId w:val="1"/>
        </w:num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2C2F34"/>
          <w:lang w:eastAsia="en-AU"/>
        </w:rPr>
      </w:pPr>
      <w:hyperlink r:id="rId12" w:anchor="a-)-exothermic-welding" w:tooltip="a.) Exothermic welding" w:history="1">
        <w:r w:rsidRPr="000D3685">
          <w:rPr>
            <w:rFonts w:ascii="Arial" w:eastAsia="Times New Roman" w:hAnsi="Arial" w:cs="Arial"/>
            <w:color w:val="666666"/>
            <w:bdr w:val="none" w:sz="0" w:space="0" w:color="auto" w:frame="1"/>
            <w:lang w:eastAsia="en-AU"/>
          </w:rPr>
          <w:t>a.) Exothermic welding</w:t>
        </w:r>
      </w:hyperlink>
    </w:p>
    <w:p w:rsidR="000D3685" w:rsidRPr="000D3685" w:rsidRDefault="000D3685" w:rsidP="000D3685">
      <w:pPr>
        <w:numPr>
          <w:ilvl w:val="1"/>
          <w:numId w:val="1"/>
        </w:num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2C2F34"/>
          <w:lang w:eastAsia="en-AU"/>
        </w:rPr>
      </w:pPr>
      <w:hyperlink r:id="rId13" w:anchor="b-)-c-connector" w:tooltip="b.) C connector:" w:history="1">
        <w:r w:rsidRPr="000D3685">
          <w:rPr>
            <w:rFonts w:ascii="Arial" w:eastAsia="Times New Roman" w:hAnsi="Arial" w:cs="Arial"/>
            <w:color w:val="666666"/>
            <w:bdr w:val="none" w:sz="0" w:space="0" w:color="auto" w:frame="1"/>
            <w:lang w:eastAsia="en-AU"/>
          </w:rPr>
          <w:t>b.) C connector:</w:t>
        </w:r>
      </w:hyperlink>
    </w:p>
    <w:p w:rsidR="000D3685" w:rsidRPr="000D3685" w:rsidRDefault="000D3685" w:rsidP="000D3685">
      <w:pPr>
        <w:numPr>
          <w:ilvl w:val="1"/>
          <w:numId w:val="1"/>
        </w:numPr>
        <w:shd w:val="clear" w:color="auto" w:fill="FFFFFF"/>
        <w:spacing w:line="240" w:lineRule="auto"/>
        <w:ind w:left="360"/>
        <w:rPr>
          <w:rFonts w:ascii="Arial" w:eastAsia="Times New Roman" w:hAnsi="Arial" w:cs="Arial"/>
          <w:color w:val="2C2F34"/>
          <w:lang w:eastAsia="en-AU"/>
        </w:rPr>
      </w:pPr>
      <w:hyperlink r:id="rId14" w:anchor="about-the-author-manuel-bolotinha" w:tooltip="About the Author: Manuel Bolotinha" w:history="1">
        <w:r w:rsidRPr="000D3685">
          <w:rPr>
            <w:rFonts w:ascii="Arial" w:eastAsia="Times New Roman" w:hAnsi="Arial" w:cs="Arial"/>
            <w:color w:val="666666"/>
            <w:bdr w:val="none" w:sz="0" w:space="0" w:color="auto" w:frame="1"/>
            <w:lang w:eastAsia="en-AU"/>
          </w:rPr>
          <w:t xml:space="preserve">About the Author: Manuel </w:t>
        </w:r>
        <w:proofErr w:type="spellStart"/>
        <w:r w:rsidRPr="000D3685">
          <w:rPr>
            <w:rFonts w:ascii="Arial" w:eastAsia="Times New Roman" w:hAnsi="Arial" w:cs="Arial"/>
            <w:color w:val="666666"/>
            <w:bdr w:val="none" w:sz="0" w:space="0" w:color="auto" w:frame="1"/>
            <w:lang w:eastAsia="en-AU"/>
          </w:rPr>
          <w:t>Bolotinha</w:t>
        </w:r>
        <w:proofErr w:type="spellEnd"/>
      </w:hyperlink>
    </w:p>
    <w:p w:rsidR="000D3685" w:rsidRPr="000D3685" w:rsidRDefault="000D3685" w:rsidP="000D3685">
      <w:pPr>
        <w:spacing w:after="0" w:line="240" w:lineRule="auto"/>
        <w:jc w:val="both"/>
        <w:outlineLvl w:val="2"/>
        <w:rPr>
          <w:rFonts w:ascii="Arial" w:eastAsia="Times New Roman" w:hAnsi="Arial" w:cs="Arial"/>
          <w:b/>
          <w:bCs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Introduction to Substation Earthing Grid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br/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In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high and medium voltage</w:t>
      </w:r>
      <w:hyperlink r:id="rId15" w:anchor="1" w:history="1">
        <w:r w:rsidRPr="000D3685">
          <w:rPr>
            <w:rFonts w:ascii="Arial" w:eastAsia="Times New Roman" w:hAnsi="Arial" w:cs="Arial"/>
            <w:color w:val="0088FF"/>
            <w:sz w:val="18"/>
            <w:szCs w:val="18"/>
            <w:bdr w:val="none" w:sz="0" w:space="0" w:color="auto" w:frame="1"/>
            <w:vertAlign w:val="superscript"/>
            <w:lang w:eastAsia="en-AU"/>
          </w:rPr>
          <w:t>[1]</w:t>
        </w:r>
      </w:hyperlink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Air Insulated Substations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(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AIS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) the </w:t>
      </w:r>
      <w:hyperlink r:id="rId16" w:tgtFrame="_blank" w:history="1">
        <w:r w:rsidRPr="000D3685">
          <w:rPr>
            <w:rFonts w:ascii="Arial" w:eastAsia="Times New Roman" w:hAnsi="Arial" w:cs="Arial"/>
            <w:b/>
            <w:bCs/>
            <w:color w:val="0088FF"/>
            <w:sz w:val="24"/>
            <w:szCs w:val="24"/>
            <w:bdr w:val="none" w:sz="0" w:space="0" w:color="auto" w:frame="1"/>
            <w:lang w:eastAsia="en-AU"/>
          </w:rPr>
          <w:t>electromagnetic field</w:t>
        </w:r>
      </w:hyperlink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which causes are the static charges of bare cable and conductors and by the atmospheric conditions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(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surges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),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induce voltages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at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no-live parts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of the installation that create </w:t>
      </w:r>
      <w:hyperlink r:id="rId17" w:tgtFrame="_blank" w:history="1">
        <w:r w:rsidRPr="000D3685">
          <w:rPr>
            <w:rFonts w:ascii="Arial" w:eastAsia="Times New Roman" w:hAnsi="Arial" w:cs="Arial"/>
            <w:b/>
            <w:bCs/>
            <w:color w:val="0088FF"/>
            <w:sz w:val="24"/>
            <w:szCs w:val="24"/>
            <w:bdr w:val="none" w:sz="0" w:space="0" w:color="auto" w:frame="1"/>
            <w:lang w:eastAsia="en-AU"/>
          </w:rPr>
          <w:t>potential differences</w:t>
        </w:r>
      </w:hyperlink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between metallic parts and ground and also between different points of the ground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.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Similar situations can occur when there are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faults between live parts of the installation and no-live parts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for example in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phase-to-earth short circuit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.</w:t>
      </w:r>
    </w:p>
    <w:p w:rsidR="000D3685" w:rsidRPr="000D3685" w:rsidRDefault="000D3685" w:rsidP="000D3685">
      <w:pPr>
        <w:spacing w:after="0" w:line="390" w:lineRule="atLeast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noProof/>
          <w:color w:val="0088FF"/>
          <w:sz w:val="24"/>
          <w:szCs w:val="24"/>
          <w:bdr w:val="none" w:sz="0" w:space="0" w:color="auto" w:frame="1"/>
          <w:lang w:eastAsia="en-AU"/>
        </w:rPr>
        <w:drawing>
          <wp:inline distT="0" distB="0" distL="0" distR="0">
            <wp:extent cx="3810000" cy="2276475"/>
            <wp:effectExtent l="0" t="0" r="0" b="9525"/>
            <wp:docPr id="13" name="Picture 13" descr="Design of Grounding Earthing System in a Substation Grid - Substation earthing grid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ign of Grounding Earthing System in a Substation Grid - Substation earthing grid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These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potential differences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give origin to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step potential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and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touch potential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or a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combination of both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that can lead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to circulation of an electric current through the human body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that can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cause hazardous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to people.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Touch voltage (</w:t>
      </w:r>
      <w:proofErr w:type="gramStart"/>
      <w:r w:rsidRPr="000D3685">
        <w:rPr>
          <w:rFonts w:ascii="Arial" w:eastAsia="Times New Roman" w:hAnsi="Arial" w:cs="Arial"/>
          <w:b/>
          <w:bCs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E</w:t>
      </w:r>
      <w:r w:rsidRPr="000D3685">
        <w:rPr>
          <w:rFonts w:ascii="Arial" w:eastAsia="Times New Roman" w:hAnsi="Arial" w:cs="Arial"/>
          <w:b/>
          <w:b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t</w:t>
      </w:r>
      <w:proofErr w:type="gramEnd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)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can be defined as the maximum potential difference that exists between an earthed metallic structure capable to be touched by the hand and any point of the ground, when a </w:t>
      </w:r>
      <w:hyperlink r:id="rId20" w:tgtFrame="_blank" w:history="1">
        <w:r w:rsidRPr="000D3685">
          <w:rPr>
            <w:rFonts w:ascii="Arial" w:eastAsia="Times New Roman" w:hAnsi="Arial" w:cs="Arial"/>
            <w:color w:val="0088FF"/>
            <w:sz w:val="24"/>
            <w:szCs w:val="24"/>
            <w:bdr w:val="none" w:sz="0" w:space="0" w:color="auto" w:frame="1"/>
            <w:lang w:eastAsia="en-AU"/>
          </w:rPr>
          <w:t>fault current</w:t>
        </w:r>
      </w:hyperlink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flows.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lastRenderedPageBreak/>
        <w:t>It is usual to consider a distance of 1 m between the metallic structure and the point on the ground.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Step voltage (</w:t>
      </w:r>
      <w:proofErr w:type="spellStart"/>
      <w:r w:rsidRPr="000D3685">
        <w:rPr>
          <w:rFonts w:ascii="Arial" w:eastAsia="Times New Roman" w:hAnsi="Arial" w:cs="Arial"/>
          <w:b/>
          <w:bCs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E</w:t>
      </w:r>
      <w:r w:rsidRPr="000D3685">
        <w:rPr>
          <w:rFonts w:ascii="Arial" w:eastAsia="Times New Roman" w:hAnsi="Arial" w:cs="Arial"/>
          <w:b/>
          <w:bCs/>
          <w:i/>
          <w:i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s</w:t>
      </w:r>
      <w:proofErr w:type="spellEnd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)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</w:t>
      </w: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is defined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as the maximum potential difference that exists between the feet when a fault current flows.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It is usual to consider a distance of 1 m between the feet.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A particular case of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step voltage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is the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Transferred voltage (</w:t>
      </w:r>
      <w:proofErr w:type="spellStart"/>
      <w:r w:rsidRPr="000D3685">
        <w:rPr>
          <w:rFonts w:ascii="Arial" w:eastAsia="Times New Roman" w:hAnsi="Arial" w:cs="Arial"/>
          <w:b/>
          <w:bCs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E</w:t>
      </w:r>
      <w:r w:rsidRPr="000D3685">
        <w:rPr>
          <w:rFonts w:ascii="Arial" w:eastAsia="Times New Roman" w:hAnsi="Arial" w:cs="Arial"/>
          <w:b/>
          <w:bCs/>
          <w:i/>
          <w:i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trrd</w:t>
      </w:r>
      <w:proofErr w:type="spellEnd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)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: where a voltage </w:t>
      </w: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is transferred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into or out of the substation from or to a remote point external to the substation site.</w:t>
      </w:r>
    </w:p>
    <w:p w:rsidR="000D3685" w:rsidRPr="000D3685" w:rsidRDefault="000D3685" w:rsidP="000D3685">
      <w:pPr>
        <w:numPr>
          <w:ilvl w:val="0"/>
          <w:numId w:val="2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Related Post: </w:t>
      </w:r>
      <w:hyperlink r:id="rId21" w:tgtFrame="_blank" w:history="1">
        <w:r w:rsidRPr="000D3685">
          <w:rPr>
            <w:rFonts w:ascii="Arial" w:eastAsia="Times New Roman" w:hAnsi="Arial" w:cs="Arial"/>
            <w:b/>
            <w:bCs/>
            <w:color w:val="0088FF"/>
            <w:sz w:val="24"/>
            <w:szCs w:val="24"/>
            <w:bdr w:val="none" w:sz="0" w:space="0" w:color="auto" w:frame="1"/>
            <w:lang w:eastAsia="en-AU"/>
          </w:rPr>
          <w:t>Earthing and Electrical Grounding Installation | A Complete Guide</w:t>
        </w:r>
      </w:hyperlink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Other concepts are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:</w:t>
      </w:r>
    </w:p>
    <w:p w:rsidR="000D3685" w:rsidRPr="000D3685" w:rsidRDefault="000D3685" w:rsidP="000D3685">
      <w:pPr>
        <w:numPr>
          <w:ilvl w:val="0"/>
          <w:numId w:val="3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Ground potential rise (</w:t>
      </w:r>
      <w:r w:rsidRPr="000D3685">
        <w:rPr>
          <w:rFonts w:ascii="Arial" w:eastAsia="Times New Roman" w:hAnsi="Arial" w:cs="Arial"/>
          <w:b/>
          <w:bCs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GPR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): 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The maximum electrical potential that a </w:t>
      </w: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substation grounding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grid may attain relative to a distant grounding point assumed to be at the potential of remote earth. This voltage, GPR, is equal to the maximum grid current times the grid resistance.</w:t>
      </w:r>
    </w:p>
    <w:p w:rsidR="000D3685" w:rsidRPr="000D3685" w:rsidRDefault="000D3685" w:rsidP="000D3685">
      <w:pPr>
        <w:numPr>
          <w:ilvl w:val="0"/>
          <w:numId w:val="3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hyperlink r:id="rId22" w:tgtFrame="_blank" w:history="1">
        <w:r w:rsidRPr="000D3685">
          <w:rPr>
            <w:rFonts w:ascii="Arial" w:eastAsia="Times New Roman" w:hAnsi="Arial" w:cs="Arial"/>
            <w:b/>
            <w:bCs/>
            <w:color w:val="0088FF"/>
            <w:sz w:val="24"/>
            <w:szCs w:val="24"/>
            <w:bdr w:val="none" w:sz="0" w:space="0" w:color="auto" w:frame="1"/>
            <w:lang w:eastAsia="en-AU"/>
          </w:rPr>
          <w:t>Mesh voltage</w:t>
        </w:r>
      </w:hyperlink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 (</w:t>
      </w:r>
      <w:proofErr w:type="spellStart"/>
      <w:r w:rsidRPr="000D3685">
        <w:rPr>
          <w:rFonts w:ascii="Arial" w:eastAsia="Times New Roman" w:hAnsi="Arial" w:cs="Arial"/>
          <w:b/>
          <w:bCs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E</w:t>
      </w:r>
      <w:r w:rsidRPr="000D3685">
        <w:rPr>
          <w:rFonts w:ascii="Arial" w:eastAsia="Times New Roman" w:hAnsi="Arial" w:cs="Arial"/>
          <w:b/>
          <w:bCs/>
          <w:i/>
          <w:i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m</w:t>
      </w:r>
      <w:proofErr w:type="spellEnd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): 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The maximum touch voltage within a mesh of a ground grid.</w:t>
      </w:r>
    </w:p>
    <w:p w:rsidR="000D3685" w:rsidRPr="000D3685" w:rsidRDefault="000D3685" w:rsidP="000D3685">
      <w:pPr>
        <w:numPr>
          <w:ilvl w:val="0"/>
          <w:numId w:val="3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Metal-to-metal touch voltage (</w:t>
      </w:r>
      <w:proofErr w:type="spellStart"/>
      <w:r w:rsidRPr="000D3685">
        <w:rPr>
          <w:rFonts w:ascii="Arial" w:eastAsia="Times New Roman" w:hAnsi="Arial" w:cs="Arial"/>
          <w:b/>
          <w:bCs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E</w:t>
      </w:r>
      <w:r w:rsidRPr="000D3685">
        <w:rPr>
          <w:rFonts w:ascii="Arial" w:eastAsia="Times New Roman" w:hAnsi="Arial" w:cs="Arial"/>
          <w:b/>
          <w:bCs/>
          <w:i/>
          <w:i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mm</w:t>
      </w:r>
      <w:proofErr w:type="spellEnd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): 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The difference in potential between metallic objects or structures within the substation site that </w:t>
      </w: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may be bridged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by direct hand-to-hand or hand-to-feet contact.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The diagram in Figure 1 shows the phenomena referred above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.</w:t>
      </w:r>
      <w:r w:rsidRPr="000D3685">
        <w:rPr>
          <w:rFonts w:ascii="Arial" w:eastAsia="Times New Roman" w:hAnsi="Arial" w:cs="Arial"/>
          <w:noProof/>
          <w:color w:val="0088FF"/>
          <w:sz w:val="24"/>
          <w:szCs w:val="24"/>
          <w:bdr w:val="none" w:sz="0" w:space="0" w:color="auto" w:frame="1"/>
          <w:lang w:eastAsia="en-AU"/>
        </w:rPr>
        <w:drawing>
          <wp:inline distT="0" distB="0" distL="0" distR="0">
            <wp:extent cx="4286250" cy="3228975"/>
            <wp:effectExtent l="0" t="0" r="0" b="9525"/>
            <wp:docPr id="12" name="Picture 12" descr="Touch, step and transferred voltages - Design of Earthing / Grounding System in a Substation Grid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ouch, step and transferred voltages - Design of Earthing / Grounding System in a Substation Grid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685" w:rsidRPr="000D3685" w:rsidRDefault="000D3685" w:rsidP="000D3685">
      <w:pPr>
        <w:spacing w:after="0" w:line="390" w:lineRule="atLeast"/>
        <w:jc w:val="center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Figure </w:t>
      </w: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1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– Touch, step and transferred voltages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In order to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minimize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to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acceptable values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of the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currents through the human body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to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ensure electrical safety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for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people working within or near the installation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and also to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limit any eventual electrical interference with third-party equipment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AIS 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must be provided with an </w:t>
      </w:r>
      <w:hyperlink r:id="rId25" w:tgtFrame="_blank" w:history="1">
        <w:r w:rsidRPr="000D3685">
          <w:rPr>
            <w:rFonts w:ascii="Arial" w:eastAsia="Times New Roman" w:hAnsi="Arial" w:cs="Arial"/>
            <w:b/>
            <w:bCs/>
            <w:color w:val="0088FF"/>
            <w:sz w:val="24"/>
            <w:szCs w:val="24"/>
            <w:bdr w:val="none" w:sz="0" w:space="0" w:color="auto" w:frame="1"/>
            <w:lang w:eastAsia="en-AU"/>
          </w:rPr>
          <w:t>earthing</w:t>
        </w:r>
        <w:r w:rsidRPr="000D3685">
          <w:rPr>
            <w:rFonts w:ascii="Arial" w:eastAsia="Times New Roman" w:hAnsi="Arial" w:cs="Arial"/>
            <w:color w:val="0088FF"/>
            <w:sz w:val="24"/>
            <w:szCs w:val="24"/>
            <w:bdr w:val="none" w:sz="0" w:space="0" w:color="auto" w:frame="1"/>
            <w:lang w:eastAsia="en-AU"/>
          </w:rPr>
          <w:t> (or </w:t>
        </w:r>
        <w:r w:rsidRPr="000D3685">
          <w:rPr>
            <w:rFonts w:ascii="Arial" w:eastAsia="Times New Roman" w:hAnsi="Arial" w:cs="Arial"/>
            <w:i/>
            <w:iCs/>
            <w:color w:val="0088FF"/>
            <w:sz w:val="24"/>
            <w:szCs w:val="24"/>
            <w:bdr w:val="none" w:sz="0" w:space="0" w:color="auto" w:frame="1"/>
            <w:lang w:eastAsia="en-AU"/>
          </w:rPr>
          <w:t>grounding</w:t>
        </w:r>
        <w:r w:rsidRPr="000D3685">
          <w:rPr>
            <w:rFonts w:ascii="Arial" w:eastAsia="Times New Roman" w:hAnsi="Arial" w:cs="Arial"/>
            <w:color w:val="0088FF"/>
            <w:sz w:val="24"/>
            <w:szCs w:val="24"/>
            <w:bdr w:val="none" w:sz="0" w:space="0" w:color="auto" w:frame="1"/>
            <w:lang w:eastAsia="en-AU"/>
          </w:rPr>
          <w:t>) </w:t>
        </w:r>
        <w:r w:rsidRPr="000D3685">
          <w:rPr>
            <w:rFonts w:ascii="Arial" w:eastAsia="Times New Roman" w:hAnsi="Arial" w:cs="Arial"/>
            <w:b/>
            <w:bCs/>
            <w:color w:val="0088FF"/>
            <w:sz w:val="24"/>
            <w:szCs w:val="24"/>
            <w:bdr w:val="none" w:sz="0" w:space="0" w:color="auto" w:frame="1"/>
            <w:lang w:eastAsia="en-AU"/>
          </w:rPr>
          <w:t>system</w:t>
        </w:r>
      </w:hyperlink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to which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all metallic non-live parts of the installation must be connected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such as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metallic structures, earthing switches, surge arresters, enclosures of switchboards and motors,</w:t>
      </w:r>
      <w:hyperlink r:id="rId26" w:tgtFrame="_blank" w:history="1">
        <w:r w:rsidRPr="000D3685">
          <w:rPr>
            <w:rFonts w:ascii="Arial" w:eastAsia="Times New Roman" w:hAnsi="Arial" w:cs="Arial"/>
            <w:i/>
            <w:iCs/>
            <w:color w:val="0088FF"/>
            <w:sz w:val="24"/>
            <w:szCs w:val="24"/>
            <w:bdr w:val="none" w:sz="0" w:space="0" w:color="auto" w:frame="1"/>
            <w:lang w:eastAsia="en-AU"/>
          </w:rPr>
          <w:t> transformers</w:t>
        </w:r>
      </w:hyperlink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 rails and metallic fences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.</w:t>
      </w:r>
      <w:proofErr w:type="gramEnd"/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Since earthing has an influence on the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levels of </w:t>
      </w:r>
      <w:hyperlink r:id="rId27" w:tgtFrame="_blank" w:history="1">
        <w:r w:rsidRPr="000D3685">
          <w:rPr>
            <w:rFonts w:ascii="Arial" w:eastAsia="Times New Roman" w:hAnsi="Arial" w:cs="Arial"/>
            <w:b/>
            <w:bCs/>
            <w:color w:val="0088FF"/>
            <w:sz w:val="24"/>
            <w:szCs w:val="24"/>
            <w:bdr w:val="none" w:sz="0" w:space="0" w:color="auto" w:frame="1"/>
            <w:lang w:eastAsia="en-AU"/>
          </w:rPr>
          <w:t>power system</w:t>
        </w:r>
      </w:hyperlink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 </w:t>
      </w:r>
      <w:proofErr w:type="spellStart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overvoltages</w:t>
      </w:r>
      <w:proofErr w:type="spellEnd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 xml:space="preserve"> and fault current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and the definition of protection systems, earthing system must be designed to ensure that there is proper operation of the protective devices such as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protective relaying and surge arresters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.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Design and construction of </w:t>
      </w:r>
      <w:hyperlink r:id="rId28" w:tgtFrame="_blank" w:history="1">
        <w:r w:rsidRPr="000D3685">
          <w:rPr>
            <w:rFonts w:ascii="Arial" w:eastAsia="Times New Roman" w:hAnsi="Arial" w:cs="Arial"/>
            <w:color w:val="0088FF"/>
            <w:sz w:val="24"/>
            <w:szCs w:val="24"/>
            <w:bdr w:val="none" w:sz="0" w:space="0" w:color="auto" w:frame="1"/>
            <w:lang w:eastAsia="en-AU"/>
          </w:rPr>
          <w:t>earthing system</w:t>
        </w:r>
      </w:hyperlink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must assure that system performs for the expected life of the installation and it must therefore take into account future additions and the maximum fault current for the ultimate configuration.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Earthing system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is made of a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mesh of buried bare copper cable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with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additional </w:t>
      </w:r>
      <w:hyperlink r:id="rId29" w:tgtFrame="_blank" w:history="1">
        <w:r w:rsidRPr="000D3685">
          <w:rPr>
            <w:rFonts w:ascii="Arial" w:eastAsia="Times New Roman" w:hAnsi="Arial" w:cs="Arial"/>
            <w:b/>
            <w:bCs/>
            <w:color w:val="0088FF"/>
            <w:sz w:val="24"/>
            <w:szCs w:val="24"/>
            <w:bdr w:val="none" w:sz="0" w:space="0" w:color="auto" w:frame="1"/>
            <w:lang w:eastAsia="en-AU"/>
          </w:rPr>
          <w:t>earth rods</w:t>
        </w:r>
      </w:hyperlink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, and </w:t>
      </w: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shall be calculated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being recommended to use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IEEE Std. 80-2000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.</w:t>
      </w:r>
    </w:p>
    <w:p w:rsidR="000D3685" w:rsidRPr="000D3685" w:rsidRDefault="000D3685" w:rsidP="000D3685">
      <w:pPr>
        <w:numPr>
          <w:ilvl w:val="0"/>
          <w:numId w:val="4"/>
        </w:numPr>
        <w:spacing w:after="0" w:line="390" w:lineRule="atLeast"/>
        <w:ind w:left="300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Related Post: </w:t>
      </w:r>
      <w:hyperlink r:id="rId30" w:history="1">
        <w:r w:rsidRPr="000D3685">
          <w:rPr>
            <w:rFonts w:ascii="Arial" w:eastAsia="Times New Roman" w:hAnsi="Arial" w:cs="Arial"/>
            <w:b/>
            <w:bCs/>
            <w:color w:val="0088FF"/>
            <w:sz w:val="24"/>
            <w:szCs w:val="24"/>
            <w:bdr w:val="none" w:sz="0" w:space="0" w:color="auto" w:frame="1"/>
            <w:lang w:eastAsia="en-AU"/>
          </w:rPr>
          <w:t>Difference Between Grounding, Earthing and Bonding</w:t>
        </w:r>
      </w:hyperlink>
    </w:p>
    <w:p w:rsidR="000D3685" w:rsidRPr="000D3685" w:rsidRDefault="000D3685" w:rsidP="000D3685">
      <w:pPr>
        <w:spacing w:after="0" w:line="240" w:lineRule="auto"/>
        <w:outlineLvl w:val="2"/>
        <w:rPr>
          <w:rFonts w:ascii="Arial" w:eastAsia="Times New Roman" w:hAnsi="Arial" w:cs="Arial"/>
          <w:b/>
          <w:bCs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 xml:space="preserve">Important formulas for </w:t>
      </w:r>
      <w:proofErr w:type="gramStart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Designing</w:t>
      </w:r>
      <w:proofErr w:type="gramEnd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 xml:space="preserve"> a Substation Grid Earthing System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The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cross section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of the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buried cable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should calculated in accordance with the value of the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phase-to-earth short circuit current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but it is common to use the </w:t>
      </w:r>
      <w:hyperlink r:id="rId31" w:tgtFrame="_blank" w:history="1">
        <w:r w:rsidRPr="000D3685">
          <w:rPr>
            <w:rFonts w:ascii="Arial" w:eastAsia="Times New Roman" w:hAnsi="Arial" w:cs="Arial"/>
            <w:b/>
            <w:bCs/>
            <w:color w:val="0088FF"/>
            <w:sz w:val="24"/>
            <w:szCs w:val="24"/>
            <w:bdr w:val="none" w:sz="0" w:space="0" w:color="auto" w:frame="1"/>
            <w:lang w:eastAsia="en-AU"/>
          </w:rPr>
          <w:t>three phase short-circuit current</w:t>
        </w:r>
      </w:hyperlink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for this purpose.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For this calculation the following formula must be used</w:t>
      </w: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:</w:t>
      </w:r>
      <w:proofErr w:type="gramEnd"/>
      <w:r w:rsidRPr="000D3685">
        <w:rPr>
          <w:rFonts w:ascii="Arial" w:eastAsia="Times New Roman" w:hAnsi="Arial" w:cs="Arial"/>
          <w:noProof/>
          <w:color w:val="2C2F34"/>
          <w:sz w:val="24"/>
          <w:szCs w:val="24"/>
          <w:bdr w:val="none" w:sz="0" w:space="0" w:color="auto" w:frame="1"/>
          <w:lang w:eastAsia="en-AU"/>
        </w:rPr>
        <w:drawing>
          <wp:inline distT="0" distB="0" distL="0" distR="0">
            <wp:extent cx="2105025" cy="561975"/>
            <wp:effectExtent l="0" t="0" r="9525" b="9525"/>
            <wp:docPr id="11" name="Picture 11" descr="https://www.electricaltechnology.org/wp-content/uploads/2018/01/Screenshot_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electricaltechnology.org/wp-content/uploads/2018/01/Screenshot_9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Where:</w:t>
      </w:r>
    </w:p>
    <w:p w:rsidR="000D3685" w:rsidRPr="000D3685" w:rsidRDefault="000D3685" w:rsidP="000D3685">
      <w:pPr>
        <w:numPr>
          <w:ilvl w:val="0"/>
          <w:numId w:val="5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I”</w:t>
      </w:r>
      <w:r w:rsidRPr="000D3685">
        <w:rPr>
          <w:rFonts w:ascii="Arial" w:eastAsia="Times New Roman" w:hAnsi="Arial" w:cs="Arial"/>
          <w:i/>
          <w:i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K1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is the phase-to-earth short-circuit current [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A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]</w:t>
      </w:r>
    </w:p>
    <w:p w:rsidR="000D3685" w:rsidRPr="000D3685" w:rsidRDefault="000D3685" w:rsidP="000D3685">
      <w:pPr>
        <w:numPr>
          <w:ilvl w:val="0"/>
          <w:numId w:val="5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proofErr w:type="spellStart"/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t</w:t>
      </w:r>
      <w:r w:rsidRPr="000D3685">
        <w:rPr>
          <w:rFonts w:ascii="Arial" w:eastAsia="Times New Roman" w:hAnsi="Arial" w:cs="Arial"/>
          <w:i/>
          <w:i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s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is the duration of the fault [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]</w:t>
      </w:r>
    </w:p>
    <w:p w:rsidR="000D3685" w:rsidRPr="000D3685" w:rsidRDefault="000D3685" w:rsidP="000D3685">
      <w:pPr>
        <w:numPr>
          <w:ilvl w:val="0"/>
          <w:numId w:val="5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proofErr w:type="spellStart"/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Δθ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is the maximum admissible temperature rise [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°C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] – for bare copper </w:t>
      </w:r>
      <w:proofErr w:type="spellStart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Δθ</w:t>
      </w:r>
      <w:proofErr w:type="spellEnd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 xml:space="preserve"> = 150 °C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According to the referred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IEEE Standard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 xml:space="preserve">maximum tolerable step and touch potential and maximum tolerable current through the human </w:t>
      </w:r>
      <w:proofErr w:type="gramStart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body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(</w:t>
      </w:r>
      <w:proofErr w:type="spellStart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I</w:t>
      </w:r>
      <w:r w:rsidRPr="000D3685">
        <w:rPr>
          <w:rFonts w:ascii="Arial" w:eastAsia="Times New Roman" w:hAnsi="Arial" w:cs="Arial"/>
          <w:b/>
          <w:b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hb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) and the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resistance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of the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earth grid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(</w:t>
      </w:r>
      <w:proofErr w:type="spellStart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R</w:t>
      </w:r>
      <w:r w:rsidRPr="000D3685">
        <w:rPr>
          <w:rFonts w:ascii="Arial" w:eastAsia="Times New Roman" w:hAnsi="Arial" w:cs="Arial"/>
          <w:b/>
          <w:b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g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) are calculated by the formulas: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u w:val="single"/>
          <w:bdr w:val="none" w:sz="0" w:space="0" w:color="auto" w:frame="1"/>
          <w:lang w:eastAsia="en-AU"/>
        </w:rPr>
        <w:t>Maximum tolerable step potential</w:t>
      </w:r>
      <w:r w:rsidRPr="000D3685">
        <w:rPr>
          <w:rFonts w:ascii="Arial" w:eastAsia="Times New Roman" w:hAnsi="Arial" w:cs="Arial"/>
          <w:b/>
          <w:bCs/>
          <w:noProof/>
          <w:color w:val="2C2F34"/>
          <w:sz w:val="24"/>
          <w:szCs w:val="24"/>
          <w:bdr w:val="none" w:sz="0" w:space="0" w:color="auto" w:frame="1"/>
          <w:lang w:eastAsia="en-AU"/>
        </w:rPr>
        <w:drawing>
          <wp:inline distT="0" distB="0" distL="0" distR="0">
            <wp:extent cx="4200525" cy="666750"/>
            <wp:effectExtent l="0" t="0" r="9525" b="0"/>
            <wp:docPr id="10" name="Picture 10" descr="https://www.electricaltechnology.org/wp-content/uploads/2018/01/Screenshot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electricaltechnology.org/wp-content/uploads/2018/01/Screenshot_10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u w:val="single"/>
          <w:bdr w:val="none" w:sz="0" w:space="0" w:color="auto" w:frame="1"/>
          <w:lang w:eastAsia="en-AU"/>
        </w:rPr>
        <w:t>Maximum tolerable touch potential</w:t>
      </w:r>
      <w:r w:rsidRPr="000D3685">
        <w:rPr>
          <w:rFonts w:ascii="Arial" w:eastAsia="Times New Roman" w:hAnsi="Arial" w:cs="Arial"/>
          <w:b/>
          <w:bCs/>
          <w:noProof/>
          <w:color w:val="2C2F34"/>
          <w:sz w:val="24"/>
          <w:szCs w:val="24"/>
          <w:bdr w:val="none" w:sz="0" w:space="0" w:color="auto" w:frame="1"/>
          <w:lang w:eastAsia="en-AU"/>
        </w:rPr>
        <w:drawing>
          <wp:inline distT="0" distB="0" distL="0" distR="0">
            <wp:extent cx="4248150" cy="657225"/>
            <wp:effectExtent l="0" t="0" r="0" b="9525"/>
            <wp:docPr id="9" name="Picture 9" descr="https://www.electricaltechnology.org/wp-content/uploads/2018/01/Screenshot_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electricaltechnology.org/wp-content/uploads/2018/01/Screenshot_11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u w:val="single"/>
          <w:bdr w:val="none" w:sz="0" w:space="0" w:color="auto" w:frame="1"/>
          <w:lang w:eastAsia="en-AU"/>
        </w:rPr>
        <w:t>Maximum tolerable current through the human body</w:t>
      </w:r>
      <w:r w:rsidRPr="000D3685">
        <w:rPr>
          <w:rFonts w:ascii="Arial" w:eastAsia="Times New Roman" w:hAnsi="Arial" w:cs="Arial"/>
          <w:b/>
          <w:bCs/>
          <w:noProof/>
          <w:color w:val="2C2F34"/>
          <w:sz w:val="24"/>
          <w:szCs w:val="24"/>
          <w:bdr w:val="none" w:sz="0" w:space="0" w:color="auto" w:frame="1"/>
          <w:lang w:eastAsia="en-AU"/>
        </w:rPr>
        <w:drawing>
          <wp:inline distT="0" distB="0" distL="0" distR="0">
            <wp:extent cx="2867025" cy="685800"/>
            <wp:effectExtent l="0" t="0" r="9525" b="0"/>
            <wp:docPr id="8" name="Picture 8" descr="https://www.electricaltechnology.org/wp-content/uploads/2018/01/Screenshot_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www.electricaltechnology.org/wp-content/uploads/2018/01/Screenshot_12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685" w:rsidRPr="000D3685" w:rsidRDefault="000D3685" w:rsidP="000D3685">
      <w:pPr>
        <w:spacing w:after="0" w:line="240" w:lineRule="auto"/>
        <w:jc w:val="both"/>
        <w:outlineLvl w:val="2"/>
        <w:rPr>
          <w:rFonts w:ascii="Arial" w:eastAsia="Times New Roman" w:hAnsi="Arial" w:cs="Arial"/>
          <w:b/>
          <w:bCs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Resistance of the Earth Grid</w:t>
      </w:r>
      <w:r w:rsidRPr="000D3685">
        <w:rPr>
          <w:rFonts w:ascii="Arial" w:eastAsia="Times New Roman" w:hAnsi="Arial" w:cs="Arial"/>
          <w:b/>
          <w:bCs/>
          <w:noProof/>
          <w:color w:val="2C2F34"/>
          <w:sz w:val="24"/>
          <w:szCs w:val="24"/>
          <w:bdr w:val="none" w:sz="0" w:space="0" w:color="auto" w:frame="1"/>
          <w:lang w:eastAsia="en-AU"/>
        </w:rPr>
        <w:drawing>
          <wp:inline distT="0" distB="0" distL="0" distR="0">
            <wp:extent cx="1581150" cy="485775"/>
            <wp:effectExtent l="0" t="0" r="0" b="9525"/>
            <wp:docPr id="7" name="Picture 7" descr="Resistance of the earth gr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esistance of the earth grid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Where:</w:t>
      </w:r>
    </w:p>
    <w:p w:rsidR="000D3685" w:rsidRPr="000D3685" w:rsidRDefault="000D3685" w:rsidP="000D3685">
      <w:pPr>
        <w:numPr>
          <w:ilvl w:val="0"/>
          <w:numId w:val="6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C</w:t>
      </w:r>
      <w:r w:rsidRPr="000D3685">
        <w:rPr>
          <w:rFonts w:ascii="Arial" w:eastAsia="Times New Roman" w:hAnsi="Arial" w:cs="Arial"/>
          <w:i/>
          <w:i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s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 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is the surface layer </w:t>
      </w:r>
      <w:proofErr w:type="spell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derating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factor and is calculated by the formula:</w:t>
      </w:r>
      <w:r w:rsidRPr="000D3685">
        <w:rPr>
          <w:rFonts w:ascii="Arial" w:eastAsia="Times New Roman" w:hAnsi="Arial" w:cs="Arial"/>
          <w:noProof/>
          <w:color w:val="2C2F34"/>
          <w:sz w:val="24"/>
          <w:szCs w:val="24"/>
          <w:bdr w:val="none" w:sz="0" w:space="0" w:color="auto" w:frame="1"/>
          <w:lang w:eastAsia="en-AU"/>
        </w:rPr>
        <w:drawing>
          <wp:inline distT="0" distB="0" distL="0" distR="0">
            <wp:extent cx="1733550" cy="581025"/>
            <wp:effectExtent l="0" t="0" r="0" b="9525"/>
            <wp:docPr id="6" name="Picture 6" descr="https://www.electricaltechnology.org/wp-content/uploads/2018/01/Screenshot_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www.electricaltechnology.org/wp-content/uploads/2018/01/Screenshot_14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685" w:rsidRPr="000D3685" w:rsidRDefault="000D3685" w:rsidP="000D3685">
      <w:pPr>
        <w:numPr>
          <w:ilvl w:val="0"/>
          <w:numId w:val="6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proofErr w:type="spellStart"/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t</w:t>
      </w:r>
      <w:r w:rsidRPr="000D3685">
        <w:rPr>
          <w:rFonts w:ascii="Arial" w:eastAsia="Times New Roman" w:hAnsi="Arial" w:cs="Arial"/>
          <w:i/>
          <w:i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s</w:t>
      </w:r>
      <w:proofErr w:type="spellEnd"/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 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is the duration of the fault [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]</w:t>
      </w:r>
    </w:p>
    <w:p w:rsidR="000D3685" w:rsidRPr="000D3685" w:rsidRDefault="000D3685" w:rsidP="000D3685">
      <w:pPr>
        <w:numPr>
          <w:ilvl w:val="0"/>
          <w:numId w:val="6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proofErr w:type="spellStart"/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ρ</w:t>
      </w:r>
      <w:r w:rsidRPr="000D3685">
        <w:rPr>
          <w:rFonts w:ascii="Arial" w:eastAsia="Times New Roman" w:hAnsi="Arial" w:cs="Arial"/>
          <w:i/>
          <w:i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s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is the surface material resistivity [</w:t>
      </w:r>
      <w:proofErr w:type="spellStart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Ω.m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]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 – 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typical value for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wet crushed rock/gravel: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2,500 </w:t>
      </w:r>
      <w:proofErr w:type="spellStart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Ω.m</w:t>
      </w:r>
      <w:proofErr w:type="spellEnd"/>
    </w:p>
    <w:p w:rsidR="000D3685" w:rsidRPr="000D3685" w:rsidRDefault="000D3685" w:rsidP="000D3685">
      <w:pPr>
        <w:numPr>
          <w:ilvl w:val="0"/>
          <w:numId w:val="6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ρ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is the resistivity of the earth beneath the surface material [</w:t>
      </w:r>
      <w:proofErr w:type="spellStart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Ω.m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]</w:t>
      </w:r>
    </w:p>
    <w:p w:rsidR="000D3685" w:rsidRPr="000D3685" w:rsidRDefault="000D3685" w:rsidP="000D3685">
      <w:pPr>
        <w:numPr>
          <w:ilvl w:val="0"/>
          <w:numId w:val="6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proofErr w:type="spellStart"/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h</w:t>
      </w:r>
      <w:r w:rsidRPr="000D3685">
        <w:rPr>
          <w:rFonts w:ascii="Arial" w:eastAsia="Times New Roman" w:hAnsi="Arial" w:cs="Arial"/>
          <w:i/>
          <w:i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s</w:t>
      </w:r>
      <w:proofErr w:type="spellEnd"/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 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is the thickness of the surface material [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m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]</w:t>
      </w:r>
    </w:p>
    <w:p w:rsidR="000D3685" w:rsidRPr="000D3685" w:rsidRDefault="000D3685" w:rsidP="000D3685">
      <w:pPr>
        <w:numPr>
          <w:ilvl w:val="0"/>
          <w:numId w:val="6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A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is the area occupied by the ground grid [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m</w:t>
      </w:r>
      <w:r w:rsidRPr="000D3685">
        <w:rPr>
          <w:rFonts w:ascii="Arial" w:eastAsia="Times New Roman" w:hAnsi="Arial" w:cs="Arial"/>
          <w:b/>
          <w:bCs/>
          <w:color w:val="2C2F34"/>
          <w:sz w:val="18"/>
          <w:szCs w:val="18"/>
          <w:bdr w:val="none" w:sz="0" w:space="0" w:color="auto" w:frame="1"/>
          <w:vertAlign w:val="superscript"/>
          <w:lang w:eastAsia="en-AU"/>
        </w:rPr>
        <w:t>2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]</w:t>
      </w:r>
    </w:p>
    <w:p w:rsidR="000D3685" w:rsidRPr="000D3685" w:rsidRDefault="000D3685" w:rsidP="000D3685">
      <w:pPr>
        <w:numPr>
          <w:ilvl w:val="0"/>
          <w:numId w:val="6"/>
        </w:numPr>
        <w:spacing w:after="0" w:line="390" w:lineRule="atLeast"/>
        <w:ind w:left="300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proofErr w:type="spellStart"/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l</w:t>
      </w:r>
      <w:r w:rsidRPr="000D3685">
        <w:rPr>
          <w:rFonts w:ascii="Arial" w:eastAsia="Times New Roman" w:hAnsi="Arial" w:cs="Arial"/>
          <w:i/>
          <w:i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T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is the total buried length of conductor, including the earth rods [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m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]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If no protective surface layer is used, then </w:t>
      </w:r>
      <w:r w:rsidRPr="000D3685">
        <w:rPr>
          <w:rFonts w:ascii="Arial" w:eastAsia="Times New Roman" w:hAnsi="Arial" w:cs="Arial"/>
          <w:b/>
          <w:bCs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C</w:t>
      </w:r>
      <w:r w:rsidRPr="000D3685">
        <w:rPr>
          <w:rFonts w:ascii="Arial" w:eastAsia="Times New Roman" w:hAnsi="Arial" w:cs="Arial"/>
          <w:b/>
          <w:bCs/>
          <w:i/>
          <w:i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s</w:t>
      </w:r>
      <w:r w:rsidRPr="000D3685">
        <w:rPr>
          <w:rFonts w:ascii="Arial" w:eastAsia="Times New Roman" w:hAnsi="Arial" w:cs="Arial"/>
          <w:b/>
          <w:bCs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 =1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and </w:t>
      </w:r>
      <w:proofErr w:type="spellStart"/>
      <w:r w:rsidRPr="000D3685">
        <w:rPr>
          <w:rFonts w:ascii="Arial" w:eastAsia="Times New Roman" w:hAnsi="Arial" w:cs="Arial"/>
          <w:b/>
          <w:bCs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ρ</w:t>
      </w:r>
      <w:r w:rsidRPr="000D3685">
        <w:rPr>
          <w:rFonts w:ascii="Arial" w:eastAsia="Times New Roman" w:hAnsi="Arial" w:cs="Arial"/>
          <w:b/>
          <w:bCs/>
          <w:i/>
          <w:iCs/>
          <w:color w:val="2C2F34"/>
          <w:sz w:val="18"/>
          <w:szCs w:val="18"/>
          <w:bdr w:val="none" w:sz="0" w:space="0" w:color="auto" w:frame="1"/>
          <w:vertAlign w:val="subscript"/>
          <w:lang w:eastAsia="en-AU"/>
        </w:rPr>
        <w:t>s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</w:t>
      </w:r>
      <w:r w:rsidRPr="000D3685">
        <w:rPr>
          <w:rFonts w:ascii="Arial" w:eastAsia="Times New Roman" w:hAnsi="Arial" w:cs="Arial"/>
          <w:b/>
          <w:bCs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= ρ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 xml:space="preserve">These calculations </w:t>
      </w:r>
      <w:proofErr w:type="gramStart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are usually done</w:t>
      </w:r>
      <w:proofErr w:type="gramEnd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 xml:space="preserve"> using specific software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.</w:t>
      </w:r>
    </w:p>
    <w:p w:rsidR="000D3685" w:rsidRPr="000D3685" w:rsidRDefault="000D3685" w:rsidP="000D3685">
      <w:pPr>
        <w:spacing w:after="0" w:line="240" w:lineRule="auto"/>
        <w:outlineLvl w:val="2"/>
        <w:rPr>
          <w:rFonts w:ascii="Arial" w:eastAsia="Times New Roman" w:hAnsi="Arial" w:cs="Arial"/>
          <w:b/>
          <w:bCs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Substation Earthing Grid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Figure 2 shows an example of the earth grid.</w:t>
      </w:r>
      <w:r w:rsidRPr="000D3685">
        <w:rPr>
          <w:rFonts w:ascii="Arial" w:eastAsia="Times New Roman" w:hAnsi="Arial" w:cs="Arial"/>
          <w:noProof/>
          <w:color w:val="2C2F34"/>
          <w:sz w:val="24"/>
          <w:szCs w:val="24"/>
          <w:bdr w:val="none" w:sz="0" w:space="0" w:color="auto" w:frame="1"/>
          <w:lang w:eastAsia="en-AU"/>
        </w:rPr>
        <w:drawing>
          <wp:inline distT="0" distB="0" distL="0" distR="0">
            <wp:extent cx="4162425" cy="4867275"/>
            <wp:effectExtent l="0" t="0" r="9525" b="9525"/>
            <wp:docPr id="5" name="Picture 5" descr="Earth gr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arth grid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685" w:rsidRPr="000D3685" w:rsidRDefault="000D3685" w:rsidP="000D3685">
      <w:pPr>
        <w:spacing w:after="0" w:line="390" w:lineRule="atLeast"/>
        <w:jc w:val="center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Figure </w:t>
      </w: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2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– Earth grid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The most suitable methods for the connection of the earth grid connections are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:</w:t>
      </w:r>
    </w:p>
    <w:p w:rsidR="000D3685" w:rsidRPr="000D3685" w:rsidRDefault="000D3685" w:rsidP="000D3685">
      <w:pPr>
        <w:spacing w:after="0" w:line="240" w:lineRule="auto"/>
        <w:jc w:val="both"/>
        <w:outlineLvl w:val="3"/>
        <w:rPr>
          <w:rFonts w:ascii="Arial" w:eastAsia="Times New Roman" w:hAnsi="Arial" w:cs="Arial"/>
          <w:b/>
          <w:bCs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a.) Exothermic welding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noProof/>
          <w:color w:val="2C2F34"/>
          <w:sz w:val="24"/>
          <w:szCs w:val="24"/>
          <w:bdr w:val="none" w:sz="0" w:space="0" w:color="auto" w:frame="1"/>
          <w:lang w:eastAsia="en-AU"/>
        </w:rPr>
        <w:drawing>
          <wp:inline distT="0" distB="0" distL="0" distR="0">
            <wp:extent cx="4762500" cy="1752600"/>
            <wp:effectExtent l="0" t="0" r="0" b="0"/>
            <wp:docPr id="4" name="Picture 4" descr="Exothermic we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xothermic weldi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685" w:rsidRPr="000D3685" w:rsidRDefault="000D3685" w:rsidP="000D3685">
      <w:pPr>
        <w:spacing w:after="0" w:line="390" w:lineRule="atLeast"/>
        <w:jc w:val="center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Figure </w:t>
      </w: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3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– Exothermic welding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Exothermic welding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is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conductors’ permanent connection process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that uses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 xml:space="preserve">molten metal and </w:t>
      </w:r>
      <w:proofErr w:type="spellStart"/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molds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, which </w:t>
      </w: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is based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in a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chemical reaction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between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metal oxides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(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the conductor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) and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ignited aluminium powder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which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acts as fuel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with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heat energy release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. This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chemical reaction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is a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pyrotechnic composition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known as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thermite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.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 xml:space="preserve">It </w:t>
      </w:r>
      <w:proofErr w:type="gramStart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must be assured</w:t>
      </w:r>
      <w:proofErr w:type="gramEnd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 xml:space="preserve"> that the number of exothermic welding done with each </w:t>
      </w:r>
      <w:proofErr w:type="spellStart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mold</w:t>
      </w:r>
      <w:proofErr w:type="spellEnd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 xml:space="preserve"> will not exceed the indications of the manufacturer.</w:t>
      </w:r>
    </w:p>
    <w:p w:rsidR="000D3685" w:rsidRPr="000D3685" w:rsidRDefault="000D3685" w:rsidP="000D3685">
      <w:pPr>
        <w:numPr>
          <w:ilvl w:val="0"/>
          <w:numId w:val="7"/>
        </w:numPr>
        <w:spacing w:after="0" w:line="390" w:lineRule="atLeast"/>
        <w:ind w:left="300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Also read: </w:t>
      </w:r>
      <w:hyperlink r:id="rId40" w:tgtFrame="_blank" w:history="1">
        <w:r w:rsidRPr="000D3685">
          <w:rPr>
            <w:rFonts w:ascii="Arial" w:eastAsia="Times New Roman" w:hAnsi="Arial" w:cs="Arial"/>
            <w:color w:val="0088FF"/>
            <w:sz w:val="24"/>
            <w:szCs w:val="24"/>
            <w:bdr w:val="none" w:sz="0" w:space="0" w:color="auto" w:frame="1"/>
            <w:lang w:eastAsia="en-AU"/>
          </w:rPr>
          <w:t xml:space="preserve">What is the Difference </w:t>
        </w:r>
        <w:proofErr w:type="gramStart"/>
        <w:r w:rsidRPr="000D3685">
          <w:rPr>
            <w:rFonts w:ascii="Arial" w:eastAsia="Times New Roman" w:hAnsi="Arial" w:cs="Arial"/>
            <w:color w:val="0088FF"/>
            <w:sz w:val="24"/>
            <w:szCs w:val="24"/>
            <w:bdr w:val="none" w:sz="0" w:space="0" w:color="auto" w:frame="1"/>
            <w:lang w:eastAsia="en-AU"/>
          </w:rPr>
          <w:t>Between</w:t>
        </w:r>
        <w:proofErr w:type="gramEnd"/>
        <w:r w:rsidRPr="000D3685">
          <w:rPr>
            <w:rFonts w:ascii="Arial" w:eastAsia="Times New Roman" w:hAnsi="Arial" w:cs="Arial"/>
            <w:color w:val="0088FF"/>
            <w:sz w:val="24"/>
            <w:szCs w:val="24"/>
            <w:bdr w:val="none" w:sz="0" w:space="0" w:color="auto" w:frame="1"/>
            <w:lang w:eastAsia="en-AU"/>
          </w:rPr>
          <w:t xml:space="preserve"> Neutral, Ground and Earth?</w:t>
        </w:r>
      </w:hyperlink>
    </w:p>
    <w:p w:rsidR="000D3685" w:rsidRPr="000D3685" w:rsidRDefault="000D3685" w:rsidP="000D3685">
      <w:pPr>
        <w:spacing w:after="0" w:line="240" w:lineRule="auto"/>
        <w:jc w:val="both"/>
        <w:outlineLvl w:val="3"/>
        <w:rPr>
          <w:rFonts w:ascii="Arial" w:eastAsia="Times New Roman" w:hAnsi="Arial" w:cs="Arial"/>
          <w:b/>
          <w:bCs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b.) C connector: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using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a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hydraulic crimping tool and matrixes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with a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size suitable for the size of the connectors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.</w:t>
      </w:r>
      <w:r w:rsidRPr="000D3685">
        <w:rPr>
          <w:rFonts w:ascii="Arial" w:eastAsia="Times New Roman" w:hAnsi="Arial" w:cs="Arial"/>
          <w:noProof/>
          <w:color w:val="2C2F34"/>
          <w:sz w:val="24"/>
          <w:szCs w:val="24"/>
          <w:bdr w:val="none" w:sz="0" w:space="0" w:color="auto" w:frame="1"/>
          <w:lang w:eastAsia="en-AU"/>
        </w:rPr>
        <w:drawing>
          <wp:inline distT="0" distB="0" distL="0" distR="0">
            <wp:extent cx="4762500" cy="1676400"/>
            <wp:effectExtent l="0" t="0" r="0" b="0"/>
            <wp:docPr id="3" name="Picture 3" descr="C connector and crimping t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 connector and crimping tool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685" w:rsidRPr="000D3685" w:rsidRDefault="000D3685" w:rsidP="000D3685">
      <w:pPr>
        <w:spacing w:after="0" w:line="390" w:lineRule="atLeast"/>
        <w:jc w:val="center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Figure </w:t>
      </w: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4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– C connector and crimping tool</w:t>
      </w:r>
    </w:p>
    <w:p w:rsidR="000D3685" w:rsidRPr="000D3685" w:rsidRDefault="000D3685" w:rsidP="000D3685">
      <w:pPr>
        <w:spacing w:after="0" w:line="390" w:lineRule="atLeast"/>
        <w:jc w:val="both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Close to the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control boxes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of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circuit breakers, switches and isolators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 it must be installed a </w:t>
      </w: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bdr w:val="none" w:sz="0" w:space="0" w:color="auto" w:frame="1"/>
          <w:lang w:eastAsia="en-AU"/>
        </w:rPr>
        <w:t>metallic equipotential mat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connected to the </w:t>
      </w:r>
      <w:r w:rsidRPr="000D3685">
        <w:rPr>
          <w:rFonts w:ascii="Arial" w:eastAsia="Times New Roman" w:hAnsi="Arial" w:cs="Arial"/>
          <w:i/>
          <w:iCs/>
          <w:color w:val="2C2F34"/>
          <w:sz w:val="24"/>
          <w:szCs w:val="24"/>
          <w:bdr w:val="none" w:sz="0" w:space="0" w:color="auto" w:frame="1"/>
          <w:lang w:eastAsia="en-AU"/>
        </w:rPr>
        <w:t>earth system</w:t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, similar to the one shown in Figure 5.</w:t>
      </w:r>
      <w:r w:rsidRPr="000D3685">
        <w:rPr>
          <w:rFonts w:ascii="Arial" w:eastAsia="Times New Roman" w:hAnsi="Arial" w:cs="Arial"/>
          <w:noProof/>
          <w:color w:val="2C2F34"/>
          <w:sz w:val="24"/>
          <w:szCs w:val="24"/>
          <w:bdr w:val="none" w:sz="0" w:space="0" w:color="auto" w:frame="1"/>
          <w:lang w:eastAsia="en-AU"/>
        </w:rPr>
        <w:drawing>
          <wp:inline distT="0" distB="0" distL="0" distR="0">
            <wp:extent cx="4381500" cy="2076450"/>
            <wp:effectExtent l="0" t="0" r="0" b="0"/>
            <wp:docPr id="2" name="Picture 2" descr="https://www.electricaltechnology.org/wp-content/uploads/2018/01/Screenshot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www.electricaltechnology.org/wp-content/uploads/2018/01/Screenshot_7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685" w:rsidRPr="000D3685" w:rsidRDefault="000D3685" w:rsidP="000D3685">
      <w:pPr>
        <w:spacing w:after="0" w:line="390" w:lineRule="atLeast"/>
        <w:jc w:val="center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Figure </w:t>
      </w: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5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– Metallic equipotential mat</w:t>
      </w:r>
    </w:p>
    <w:p w:rsidR="000D3685" w:rsidRPr="000D3685" w:rsidRDefault="000D3685" w:rsidP="000D3685">
      <w:pPr>
        <w:shd w:val="clear" w:color="auto" w:fill="D6F6FF"/>
        <w:spacing w:after="0" w:line="390" w:lineRule="atLeast"/>
        <w:rPr>
          <w:rFonts w:ascii="Arial" w:eastAsia="Times New Roman" w:hAnsi="Arial" w:cs="Arial"/>
          <w:color w:val="005770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005770"/>
          <w:sz w:val="24"/>
          <w:szCs w:val="24"/>
          <w:bdr w:val="none" w:sz="0" w:space="0" w:color="auto" w:frame="1"/>
          <w:lang w:eastAsia="en-AU"/>
        </w:rPr>
        <w:t>Good to know:</w:t>
      </w:r>
    </w:p>
    <w:p w:rsidR="000D3685" w:rsidRPr="000D3685" w:rsidRDefault="000D3685" w:rsidP="000D3685">
      <w:pPr>
        <w:shd w:val="clear" w:color="auto" w:fill="D6F6FF"/>
        <w:spacing w:line="390" w:lineRule="atLeast"/>
        <w:jc w:val="both"/>
        <w:rPr>
          <w:rFonts w:ascii="Arial" w:eastAsia="Times New Roman" w:hAnsi="Arial" w:cs="Arial"/>
          <w:color w:val="005770"/>
          <w:sz w:val="24"/>
          <w:szCs w:val="24"/>
          <w:lang w:eastAsia="en-AU"/>
        </w:rPr>
      </w:pPr>
      <w:bookmarkStart w:id="0" w:name="1"/>
      <w:bookmarkEnd w:id="0"/>
      <w:r w:rsidRPr="000D3685">
        <w:rPr>
          <w:rFonts w:ascii="Arial" w:eastAsia="Times New Roman" w:hAnsi="Arial" w:cs="Arial"/>
          <w:color w:val="005770"/>
          <w:sz w:val="24"/>
          <w:szCs w:val="24"/>
          <w:bdr w:val="none" w:sz="0" w:space="0" w:color="auto" w:frame="1"/>
          <w:lang w:eastAsia="en-AU"/>
        </w:rPr>
        <w:t>[1] Being </w:t>
      </w:r>
      <w:proofErr w:type="gramStart"/>
      <w:r w:rsidRPr="000D3685">
        <w:rPr>
          <w:rFonts w:ascii="Arial" w:eastAsia="Times New Roman" w:hAnsi="Arial" w:cs="Arial"/>
          <w:b/>
          <w:bCs/>
          <w:color w:val="005770"/>
          <w:sz w:val="24"/>
          <w:szCs w:val="24"/>
          <w:bdr w:val="none" w:sz="0" w:space="0" w:color="auto" w:frame="1"/>
          <w:lang w:eastAsia="en-AU"/>
        </w:rPr>
        <w:t>U</w:t>
      </w:r>
      <w:r w:rsidRPr="000D3685">
        <w:rPr>
          <w:rFonts w:ascii="Arial" w:eastAsia="Times New Roman" w:hAnsi="Arial" w:cs="Arial"/>
          <w:b/>
          <w:bCs/>
          <w:color w:val="005770"/>
          <w:sz w:val="18"/>
          <w:szCs w:val="18"/>
          <w:bdr w:val="none" w:sz="0" w:space="0" w:color="auto" w:frame="1"/>
          <w:vertAlign w:val="subscript"/>
          <w:lang w:eastAsia="en-AU"/>
        </w:rPr>
        <w:t>n</w:t>
      </w:r>
      <w:proofErr w:type="gramEnd"/>
      <w:r w:rsidRPr="000D3685">
        <w:rPr>
          <w:rFonts w:ascii="Arial" w:eastAsia="Times New Roman" w:hAnsi="Arial" w:cs="Arial"/>
          <w:color w:val="005770"/>
          <w:sz w:val="24"/>
          <w:szCs w:val="24"/>
          <w:bdr w:val="none" w:sz="0" w:space="0" w:color="auto" w:frame="1"/>
          <w:lang w:eastAsia="en-AU"/>
        </w:rPr>
        <w:t> the rated voltage of the network: </w:t>
      </w:r>
      <w:r w:rsidRPr="000D3685">
        <w:rPr>
          <w:rFonts w:ascii="Arial" w:eastAsia="Times New Roman" w:hAnsi="Arial" w:cs="Arial"/>
          <w:b/>
          <w:bCs/>
          <w:color w:val="005770"/>
          <w:sz w:val="24"/>
          <w:szCs w:val="24"/>
          <w:bdr w:val="none" w:sz="0" w:space="0" w:color="auto" w:frame="1"/>
          <w:lang w:eastAsia="en-AU"/>
        </w:rPr>
        <w:t>HV</w:t>
      </w:r>
      <w:r w:rsidRPr="000D3685">
        <w:rPr>
          <w:rFonts w:ascii="Arial" w:eastAsia="Times New Roman" w:hAnsi="Arial" w:cs="Arial"/>
          <w:color w:val="005770"/>
          <w:sz w:val="24"/>
          <w:szCs w:val="24"/>
          <w:bdr w:val="none" w:sz="0" w:space="0" w:color="auto" w:frame="1"/>
          <w:lang w:eastAsia="en-AU"/>
        </w:rPr>
        <w:t> – </w:t>
      </w:r>
      <w:r w:rsidRPr="000D3685">
        <w:rPr>
          <w:rFonts w:ascii="Arial" w:eastAsia="Times New Roman" w:hAnsi="Arial" w:cs="Arial"/>
          <w:b/>
          <w:bCs/>
          <w:color w:val="005770"/>
          <w:sz w:val="24"/>
          <w:szCs w:val="24"/>
          <w:bdr w:val="none" w:sz="0" w:space="0" w:color="auto" w:frame="1"/>
          <w:lang w:eastAsia="en-AU"/>
        </w:rPr>
        <w:t>U</w:t>
      </w:r>
      <w:r w:rsidRPr="000D3685">
        <w:rPr>
          <w:rFonts w:ascii="Arial" w:eastAsia="Times New Roman" w:hAnsi="Arial" w:cs="Arial"/>
          <w:b/>
          <w:bCs/>
          <w:color w:val="005770"/>
          <w:sz w:val="18"/>
          <w:szCs w:val="18"/>
          <w:bdr w:val="none" w:sz="0" w:space="0" w:color="auto" w:frame="1"/>
          <w:vertAlign w:val="subscript"/>
          <w:lang w:eastAsia="en-AU"/>
        </w:rPr>
        <w:t>n </w:t>
      </w:r>
      <w:r w:rsidRPr="000D3685">
        <w:rPr>
          <w:rFonts w:ascii="Arial" w:eastAsia="Times New Roman" w:hAnsi="Arial" w:cs="Arial"/>
          <w:b/>
          <w:bCs/>
          <w:color w:val="005770"/>
          <w:sz w:val="24"/>
          <w:szCs w:val="24"/>
          <w:bdr w:val="none" w:sz="0" w:space="0" w:color="auto" w:frame="1"/>
          <w:lang w:eastAsia="en-AU"/>
        </w:rPr>
        <w:t>≥ 60 kV</w:t>
      </w:r>
      <w:r w:rsidRPr="000D3685">
        <w:rPr>
          <w:rFonts w:ascii="Arial" w:eastAsia="Times New Roman" w:hAnsi="Arial" w:cs="Arial"/>
          <w:color w:val="005770"/>
          <w:sz w:val="24"/>
          <w:szCs w:val="24"/>
          <w:bdr w:val="none" w:sz="0" w:space="0" w:color="auto" w:frame="1"/>
          <w:lang w:eastAsia="en-AU"/>
        </w:rPr>
        <w:t>; </w:t>
      </w:r>
      <w:r w:rsidRPr="000D3685">
        <w:rPr>
          <w:rFonts w:ascii="Arial" w:eastAsia="Times New Roman" w:hAnsi="Arial" w:cs="Arial"/>
          <w:b/>
          <w:bCs/>
          <w:color w:val="005770"/>
          <w:sz w:val="24"/>
          <w:szCs w:val="24"/>
          <w:bdr w:val="none" w:sz="0" w:space="0" w:color="auto" w:frame="1"/>
          <w:lang w:eastAsia="en-AU"/>
        </w:rPr>
        <w:t>MV</w:t>
      </w:r>
      <w:r w:rsidRPr="000D3685">
        <w:rPr>
          <w:rFonts w:ascii="Arial" w:eastAsia="Times New Roman" w:hAnsi="Arial" w:cs="Arial"/>
          <w:color w:val="005770"/>
          <w:sz w:val="24"/>
          <w:szCs w:val="24"/>
          <w:bdr w:val="none" w:sz="0" w:space="0" w:color="auto" w:frame="1"/>
          <w:lang w:eastAsia="en-AU"/>
        </w:rPr>
        <w:t> – </w:t>
      </w:r>
      <w:r w:rsidRPr="000D3685">
        <w:rPr>
          <w:rFonts w:ascii="Arial" w:eastAsia="Times New Roman" w:hAnsi="Arial" w:cs="Arial"/>
          <w:b/>
          <w:bCs/>
          <w:color w:val="005770"/>
          <w:sz w:val="24"/>
          <w:szCs w:val="24"/>
          <w:bdr w:val="none" w:sz="0" w:space="0" w:color="auto" w:frame="1"/>
          <w:lang w:eastAsia="en-AU"/>
        </w:rPr>
        <w:t>1 kV &lt; U</w:t>
      </w:r>
      <w:r w:rsidRPr="000D3685">
        <w:rPr>
          <w:rFonts w:ascii="Arial" w:eastAsia="Times New Roman" w:hAnsi="Arial" w:cs="Arial"/>
          <w:b/>
          <w:bCs/>
          <w:color w:val="005770"/>
          <w:sz w:val="18"/>
          <w:szCs w:val="18"/>
          <w:bdr w:val="none" w:sz="0" w:space="0" w:color="auto" w:frame="1"/>
          <w:vertAlign w:val="subscript"/>
          <w:lang w:eastAsia="en-AU"/>
        </w:rPr>
        <w:t>n</w:t>
      </w:r>
      <w:r w:rsidRPr="000D3685">
        <w:rPr>
          <w:rFonts w:ascii="Arial" w:eastAsia="Times New Roman" w:hAnsi="Arial" w:cs="Arial"/>
          <w:b/>
          <w:bCs/>
          <w:color w:val="005770"/>
          <w:sz w:val="24"/>
          <w:szCs w:val="24"/>
          <w:bdr w:val="none" w:sz="0" w:space="0" w:color="auto" w:frame="1"/>
          <w:lang w:eastAsia="en-AU"/>
        </w:rPr>
        <w:t> ≤ 49.5 kV</w:t>
      </w:r>
      <w:r w:rsidRPr="000D3685">
        <w:rPr>
          <w:rFonts w:ascii="Arial" w:eastAsia="Times New Roman" w:hAnsi="Arial" w:cs="Arial"/>
          <w:color w:val="005770"/>
          <w:sz w:val="24"/>
          <w:szCs w:val="24"/>
          <w:bdr w:val="none" w:sz="0" w:space="0" w:color="auto" w:frame="1"/>
          <w:lang w:eastAsia="en-AU"/>
        </w:rPr>
        <w:t>.</w:t>
      </w:r>
    </w:p>
    <w:p w:rsidR="000D3685" w:rsidRPr="000D3685" w:rsidRDefault="000D3685" w:rsidP="000D3685">
      <w:pPr>
        <w:shd w:val="clear" w:color="auto" w:fill="FFFFFF"/>
        <w:spacing w:after="0" w:line="0" w:lineRule="auto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noProof/>
          <w:color w:val="2C2F34"/>
          <w:sz w:val="24"/>
          <w:szCs w:val="24"/>
          <w:lang w:eastAsia="en-AU"/>
        </w:rPr>
        <w:drawing>
          <wp:inline distT="0" distB="0" distL="0" distR="0">
            <wp:extent cx="923925" cy="1143000"/>
            <wp:effectExtent l="0" t="0" r="9525" b="0"/>
            <wp:docPr id="1" name="Picture 1" descr="https://www.electricaltechnology.org/wp-content/uploads/2018/01/Manuel-Bolotinh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www.electricaltechnology.org/wp-content/uploads/2018/01/Manuel-Bolotinha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685" w:rsidRPr="000D3685" w:rsidRDefault="000D3685" w:rsidP="000D3685">
      <w:pPr>
        <w:shd w:val="clear" w:color="auto" w:fill="FFFFFF"/>
        <w:spacing w:after="0" w:line="240" w:lineRule="auto"/>
        <w:outlineLvl w:val="3"/>
        <w:rPr>
          <w:rFonts w:ascii="Arial" w:eastAsia="Times New Roman" w:hAnsi="Arial" w:cs="Arial"/>
          <w:b/>
          <w:bCs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lang w:eastAsia="en-AU"/>
        </w:rPr>
        <w:t xml:space="preserve">About the Author: Manuel </w:t>
      </w:r>
      <w:proofErr w:type="spellStart"/>
      <w:r w:rsidRPr="000D3685">
        <w:rPr>
          <w:rFonts w:ascii="Arial" w:eastAsia="Times New Roman" w:hAnsi="Arial" w:cs="Arial"/>
          <w:b/>
          <w:bCs/>
          <w:color w:val="2C2F34"/>
          <w:sz w:val="24"/>
          <w:szCs w:val="24"/>
          <w:lang w:eastAsia="en-AU"/>
        </w:rPr>
        <w:t>Bolotinha</w:t>
      </w:r>
      <w:proofErr w:type="spellEnd"/>
    </w:p>
    <w:p w:rsidR="000D3685" w:rsidRPr="000D3685" w:rsidRDefault="000D3685" w:rsidP="000D3685">
      <w:pPr>
        <w:shd w:val="clear" w:color="auto" w:fill="FFFFFF"/>
        <w:spacing w:after="0" w:line="390" w:lineRule="atLeast"/>
        <w:rPr>
          <w:rFonts w:ascii="Arial" w:eastAsia="Times New Roman" w:hAnsi="Arial" w:cs="Arial"/>
          <w:color w:val="2C2F34"/>
          <w:sz w:val="24"/>
          <w:szCs w:val="24"/>
          <w:lang w:eastAsia="en-AU"/>
        </w:rPr>
      </w:pPr>
      <w:r w:rsidRPr="000D3685">
        <w:rPr>
          <w:rFonts w:ascii="Arial" w:eastAsia="Times New Roman" w:hAnsi="Arial" w:cs="Arial"/>
          <w:color w:val="2C2F34"/>
          <w:sz w:val="24"/>
          <w:szCs w:val="24"/>
          <w:lang w:eastAsia="en-AU"/>
        </w:rPr>
        <w:t xml:space="preserve">-Licentiate Degree in Electrical Engineering – Energy and Power Systems (1974 – </w:t>
      </w:r>
      <w:proofErr w:type="spellStart"/>
      <w:r w:rsidRPr="000D3685">
        <w:rPr>
          <w:rFonts w:ascii="Arial" w:eastAsia="Times New Roman" w:hAnsi="Arial" w:cs="Arial"/>
          <w:color w:val="2C2F34"/>
          <w:sz w:val="24"/>
          <w:szCs w:val="24"/>
          <w:lang w:eastAsia="en-AU"/>
        </w:rPr>
        <w:t>Instituto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lang w:eastAsia="en-AU"/>
        </w:rPr>
        <w:t xml:space="preserve"> Superior </w:t>
      </w:r>
      <w:proofErr w:type="spellStart"/>
      <w:r w:rsidRPr="000D3685">
        <w:rPr>
          <w:rFonts w:ascii="Arial" w:eastAsia="Times New Roman" w:hAnsi="Arial" w:cs="Arial"/>
          <w:color w:val="2C2F34"/>
          <w:sz w:val="24"/>
          <w:szCs w:val="24"/>
          <w:lang w:eastAsia="en-AU"/>
        </w:rPr>
        <w:t>Técnico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lang w:eastAsia="en-AU"/>
        </w:rPr>
        <w:t>/University of Lisbon</w:t>
      </w:r>
      <w:proofErr w:type="gramStart"/>
      <w:r w:rsidRPr="000D3685">
        <w:rPr>
          <w:rFonts w:ascii="Arial" w:eastAsia="Times New Roman" w:hAnsi="Arial" w:cs="Arial"/>
          <w:color w:val="2C2F34"/>
          <w:sz w:val="24"/>
          <w:szCs w:val="24"/>
          <w:lang w:eastAsia="en-AU"/>
        </w:rPr>
        <w:t>)</w:t>
      </w:r>
      <w:proofErr w:type="gramEnd"/>
      <w:r w:rsidRPr="000D3685">
        <w:rPr>
          <w:rFonts w:ascii="Arial" w:eastAsia="Times New Roman" w:hAnsi="Arial" w:cs="Arial"/>
          <w:color w:val="2C2F34"/>
          <w:sz w:val="24"/>
          <w:szCs w:val="24"/>
          <w:lang w:eastAsia="en-AU"/>
        </w:rPr>
        <w:br/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– Master Degree in Electrical and Computers Engineering (2017 – </w:t>
      </w:r>
      <w:proofErr w:type="spell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Faculdade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de </w:t>
      </w:r>
      <w:proofErr w:type="spell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Ciências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 xml:space="preserve"> e </w:t>
      </w:r>
      <w:proofErr w:type="spellStart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Tecnologia</w:t>
      </w:r>
      <w:proofErr w:type="spellEnd"/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/Nova University of Lisbon)</w:t>
      </w:r>
      <w:r w:rsidRPr="000D3685">
        <w:rPr>
          <w:rFonts w:ascii="Arial" w:eastAsia="Times New Roman" w:hAnsi="Arial" w:cs="Arial"/>
          <w:color w:val="2C2F34"/>
          <w:sz w:val="24"/>
          <w:szCs w:val="24"/>
          <w:lang w:eastAsia="en-AU"/>
        </w:rPr>
        <w:br/>
      </w:r>
      <w:r w:rsidRPr="000D3685">
        <w:rPr>
          <w:rFonts w:ascii="Arial" w:eastAsia="Times New Roman" w:hAnsi="Arial" w:cs="Arial"/>
          <w:color w:val="2C2F34"/>
          <w:sz w:val="24"/>
          <w:szCs w:val="24"/>
          <w:bdr w:val="none" w:sz="0" w:space="0" w:color="auto" w:frame="1"/>
          <w:lang w:eastAsia="en-AU"/>
        </w:rPr>
        <w:t>– Senior Consultant in Substations and Power Systems; Professional Instructor</w:t>
      </w:r>
    </w:p>
    <w:p w:rsidR="009C6B2B" w:rsidRDefault="000D3685">
      <w:bookmarkStart w:id="1" w:name="_GoBack"/>
      <w:bookmarkEnd w:id="1"/>
    </w:p>
    <w:sectPr w:rsidR="009C6B2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D3685" w:rsidRDefault="000D3685" w:rsidP="000D3685">
      <w:pPr>
        <w:spacing w:after="0" w:line="240" w:lineRule="auto"/>
      </w:pPr>
      <w:r>
        <w:separator/>
      </w:r>
    </w:p>
  </w:endnote>
  <w:endnote w:type="continuationSeparator" w:id="0">
    <w:p w:rsidR="000D3685" w:rsidRDefault="000D3685" w:rsidP="000D36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D3685" w:rsidRDefault="000D3685" w:rsidP="000D3685">
      <w:pPr>
        <w:spacing w:after="0" w:line="240" w:lineRule="auto"/>
      </w:pPr>
      <w:r>
        <w:separator/>
      </w:r>
    </w:p>
  </w:footnote>
  <w:footnote w:type="continuationSeparator" w:id="0">
    <w:p w:rsidR="000D3685" w:rsidRDefault="000D3685" w:rsidP="000D36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02623"/>
    <w:multiLevelType w:val="multilevel"/>
    <w:tmpl w:val="A920B3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4657D4D"/>
    <w:multiLevelType w:val="multilevel"/>
    <w:tmpl w:val="AC48E9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E593BF7"/>
    <w:multiLevelType w:val="multilevel"/>
    <w:tmpl w:val="585C1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0A11E3A"/>
    <w:multiLevelType w:val="multilevel"/>
    <w:tmpl w:val="9B605D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2FB24F6"/>
    <w:multiLevelType w:val="multilevel"/>
    <w:tmpl w:val="4064A2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77C7E73"/>
    <w:multiLevelType w:val="multilevel"/>
    <w:tmpl w:val="93B63B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D025445"/>
    <w:multiLevelType w:val="multilevel"/>
    <w:tmpl w:val="387E96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1"/>
  </w:num>
  <w:num w:numId="3">
    <w:abstractNumId w:val="6"/>
  </w:num>
  <w:num w:numId="4">
    <w:abstractNumId w:val="2"/>
  </w:num>
  <w:num w:numId="5">
    <w:abstractNumId w:val="4"/>
  </w:num>
  <w:num w:numId="6">
    <w:abstractNumId w:val="5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3685"/>
    <w:rsid w:val="000D3685"/>
    <w:rsid w:val="00D96C8A"/>
    <w:rsid w:val="00E701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34A09F56-FD1E-4336-9E0B-7AE549A96C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0D368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AU"/>
    </w:rPr>
  </w:style>
  <w:style w:type="paragraph" w:styleId="Heading2">
    <w:name w:val="heading 2"/>
    <w:basedOn w:val="Normal"/>
    <w:link w:val="Heading2Char"/>
    <w:uiPriority w:val="9"/>
    <w:qFormat/>
    <w:rsid w:val="000D368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n-AU"/>
    </w:rPr>
  </w:style>
  <w:style w:type="paragraph" w:styleId="Heading3">
    <w:name w:val="heading 3"/>
    <w:basedOn w:val="Normal"/>
    <w:link w:val="Heading3Char"/>
    <w:uiPriority w:val="9"/>
    <w:qFormat/>
    <w:rsid w:val="000D368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AU"/>
    </w:rPr>
  </w:style>
  <w:style w:type="paragraph" w:styleId="Heading4">
    <w:name w:val="heading 4"/>
    <w:basedOn w:val="Normal"/>
    <w:link w:val="Heading4Char"/>
    <w:uiPriority w:val="9"/>
    <w:qFormat/>
    <w:rsid w:val="000D3685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D3685"/>
    <w:rPr>
      <w:rFonts w:ascii="Times New Roman" w:eastAsia="Times New Roman" w:hAnsi="Times New Roman" w:cs="Times New Roman"/>
      <w:b/>
      <w:bCs/>
      <w:kern w:val="36"/>
      <w:sz w:val="48"/>
      <w:szCs w:val="48"/>
      <w:lang w:eastAsia="en-AU"/>
    </w:rPr>
  </w:style>
  <w:style w:type="character" w:customStyle="1" w:styleId="Heading2Char">
    <w:name w:val="Heading 2 Char"/>
    <w:basedOn w:val="DefaultParagraphFont"/>
    <w:link w:val="Heading2"/>
    <w:uiPriority w:val="9"/>
    <w:rsid w:val="000D3685"/>
    <w:rPr>
      <w:rFonts w:ascii="Times New Roman" w:eastAsia="Times New Roman" w:hAnsi="Times New Roman" w:cs="Times New Roman"/>
      <w:b/>
      <w:bCs/>
      <w:sz w:val="36"/>
      <w:szCs w:val="36"/>
      <w:lang w:eastAsia="en-AU"/>
    </w:rPr>
  </w:style>
  <w:style w:type="character" w:customStyle="1" w:styleId="Heading3Char">
    <w:name w:val="Heading 3 Char"/>
    <w:basedOn w:val="DefaultParagraphFont"/>
    <w:link w:val="Heading3"/>
    <w:uiPriority w:val="9"/>
    <w:rsid w:val="000D3685"/>
    <w:rPr>
      <w:rFonts w:ascii="Times New Roman" w:eastAsia="Times New Roman" w:hAnsi="Times New Roman" w:cs="Times New Roman"/>
      <w:b/>
      <w:bCs/>
      <w:sz w:val="27"/>
      <w:szCs w:val="27"/>
      <w:lang w:eastAsia="en-AU"/>
    </w:rPr>
  </w:style>
  <w:style w:type="character" w:customStyle="1" w:styleId="Heading4Char">
    <w:name w:val="Heading 4 Char"/>
    <w:basedOn w:val="DefaultParagraphFont"/>
    <w:link w:val="Heading4"/>
    <w:uiPriority w:val="9"/>
    <w:rsid w:val="000D3685"/>
    <w:rPr>
      <w:rFonts w:ascii="Times New Roman" w:eastAsia="Times New Roman" w:hAnsi="Times New Roman" w:cs="Times New Roman"/>
      <w:b/>
      <w:bCs/>
      <w:sz w:val="24"/>
      <w:szCs w:val="24"/>
      <w:lang w:eastAsia="en-AU"/>
    </w:rPr>
  </w:style>
  <w:style w:type="character" w:customStyle="1" w:styleId="meta-author">
    <w:name w:val="meta-author"/>
    <w:basedOn w:val="DefaultParagraphFont"/>
    <w:rsid w:val="000D3685"/>
  </w:style>
  <w:style w:type="character" w:styleId="Hyperlink">
    <w:name w:val="Hyperlink"/>
    <w:basedOn w:val="DefaultParagraphFont"/>
    <w:uiPriority w:val="99"/>
    <w:semiHidden/>
    <w:unhideWhenUsed/>
    <w:rsid w:val="000D3685"/>
    <w:rPr>
      <w:color w:val="0000FF"/>
      <w:u w:val="single"/>
    </w:rPr>
  </w:style>
  <w:style w:type="character" w:customStyle="1" w:styleId="meta-comment">
    <w:name w:val="meta-comment"/>
    <w:basedOn w:val="DefaultParagraphFont"/>
    <w:rsid w:val="000D3685"/>
  </w:style>
  <w:style w:type="character" w:customStyle="1" w:styleId="meta-reading-time">
    <w:name w:val="meta-reading-time"/>
    <w:basedOn w:val="DefaultParagraphFont"/>
    <w:rsid w:val="000D3685"/>
  </w:style>
  <w:style w:type="character" w:styleId="Strong">
    <w:name w:val="Strong"/>
    <w:basedOn w:val="DefaultParagraphFont"/>
    <w:uiPriority w:val="22"/>
    <w:qFormat/>
    <w:rsid w:val="000D3685"/>
    <w:rPr>
      <w:b/>
      <w:bCs/>
    </w:rPr>
  </w:style>
  <w:style w:type="paragraph" w:customStyle="1" w:styleId="ez-toc-title">
    <w:name w:val="ez-toc-title"/>
    <w:basedOn w:val="Normal"/>
    <w:rsid w:val="000D36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AU"/>
    </w:rPr>
  </w:style>
  <w:style w:type="paragraph" w:styleId="NormalWeb">
    <w:name w:val="Normal (Web)"/>
    <w:basedOn w:val="Normal"/>
    <w:uiPriority w:val="99"/>
    <w:semiHidden/>
    <w:unhideWhenUsed/>
    <w:rsid w:val="000D36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AU"/>
    </w:rPr>
  </w:style>
  <w:style w:type="character" w:styleId="Emphasis">
    <w:name w:val="Emphasis"/>
    <w:basedOn w:val="DefaultParagraphFont"/>
    <w:uiPriority w:val="20"/>
    <w:qFormat/>
    <w:rsid w:val="000D368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194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59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71282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71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5846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7411">
              <w:marLeft w:val="0"/>
              <w:marRight w:val="0"/>
              <w:marTop w:val="0"/>
              <w:marBottom w:val="240"/>
              <w:divBdr>
                <w:top w:val="single" w:sz="6" w:space="8" w:color="AAAAAA"/>
                <w:left w:val="single" w:sz="6" w:space="8" w:color="AAAAAA"/>
                <w:bottom w:val="single" w:sz="6" w:space="8" w:color="AAAAAA"/>
                <w:right w:val="single" w:sz="6" w:space="8" w:color="AAAAAA"/>
              </w:divBdr>
              <w:divsChild>
                <w:div w:id="381713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3587294">
              <w:marLeft w:val="420"/>
              <w:marRight w:val="0"/>
              <w:marTop w:val="9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7313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3897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6547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3192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lectricaltechnology.org/2018/02/design-earthing-grounding-substation-grid.html" TargetMode="External"/><Relationship Id="rId13" Type="http://schemas.openxmlformats.org/officeDocument/2006/relationships/hyperlink" Target="https://www.electricaltechnology.org/2018/02/design-earthing-grounding-substation-grid.html" TargetMode="External"/><Relationship Id="rId18" Type="http://schemas.openxmlformats.org/officeDocument/2006/relationships/hyperlink" Target="https://www.electricaltechnology.org/wp-content/uploads/2018/02/Design-of-Grounding-Earthing-System-in-a-Substation-Grid-Substation-earthing-grid.jpg" TargetMode="External"/><Relationship Id="rId26" Type="http://schemas.openxmlformats.org/officeDocument/2006/relationships/hyperlink" Target="https://www.electricaltechnology.org/2012/02/working-principle-of-transformer.html" TargetMode="External"/><Relationship Id="rId39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hyperlink" Target="https://www.electricaltechnology.org/2015/05/earthing-and-electrical-grounding-types-of-earthing.html" TargetMode="External"/><Relationship Id="rId34" Type="http://schemas.openxmlformats.org/officeDocument/2006/relationships/image" Target="media/image5.png"/><Relationship Id="rId42" Type="http://schemas.openxmlformats.org/officeDocument/2006/relationships/image" Target="media/image12.png"/><Relationship Id="rId7" Type="http://schemas.openxmlformats.org/officeDocument/2006/relationships/hyperlink" Target="https://www.electricaltechnology.org/author/electrical-technology" TargetMode="External"/><Relationship Id="rId12" Type="http://schemas.openxmlformats.org/officeDocument/2006/relationships/hyperlink" Target="https://www.electricaltechnology.org/2018/02/design-earthing-grounding-substation-grid.html" TargetMode="External"/><Relationship Id="rId17" Type="http://schemas.openxmlformats.org/officeDocument/2006/relationships/hyperlink" Target="https://www.electricaltechnology.org/2012/03/what-are-fundamental-differences.html" TargetMode="External"/><Relationship Id="rId25" Type="http://schemas.openxmlformats.org/officeDocument/2006/relationships/hyperlink" Target="https://www.electricaltechnology.org/2015/05/earthing-and-electrical-grounding-types-of-earthing.html" TargetMode="External"/><Relationship Id="rId33" Type="http://schemas.openxmlformats.org/officeDocument/2006/relationships/image" Target="media/image4.png"/><Relationship Id="rId38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hyperlink" Target="https://www.electricaltechnology.org/2014/08/basic-magnetic-terms-definition-formulas.html" TargetMode="External"/><Relationship Id="rId20" Type="http://schemas.openxmlformats.org/officeDocument/2006/relationships/hyperlink" Target="https://www.electricaltechnology.org/2015/03/fault-current-limiter-current-limiting-reactors.html" TargetMode="External"/><Relationship Id="rId29" Type="http://schemas.openxmlformats.org/officeDocument/2006/relationships/hyperlink" Target="https://www.electricaltechnology.org/2015/12/size-of-earth-conductor-earthing-lead-earth-electrodes.html" TargetMode="External"/><Relationship Id="rId41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electricaltechnology.org/2018/02/design-earthing-grounding-substation-grid.html" TargetMode="External"/><Relationship Id="rId24" Type="http://schemas.openxmlformats.org/officeDocument/2006/relationships/image" Target="media/image2.png"/><Relationship Id="rId32" Type="http://schemas.openxmlformats.org/officeDocument/2006/relationships/image" Target="media/image3.png"/><Relationship Id="rId37" Type="http://schemas.openxmlformats.org/officeDocument/2006/relationships/image" Target="media/image8.png"/><Relationship Id="rId40" Type="http://schemas.openxmlformats.org/officeDocument/2006/relationships/hyperlink" Target="https://www.electricaltechnology.org/2015/08/difference-between-neutral-ground-and-earth.html" TargetMode="External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www.electricaltechnology.org/2018/02/design-earthing-grounding-substation-grid.html" TargetMode="External"/><Relationship Id="rId23" Type="http://schemas.openxmlformats.org/officeDocument/2006/relationships/hyperlink" Target="https://www.electricaltechnology.org/wp-content/uploads/2018/01/Figure-1.png" TargetMode="External"/><Relationship Id="rId28" Type="http://schemas.openxmlformats.org/officeDocument/2006/relationships/hyperlink" Target="https://www.electricaltechnology.org/2015/05/earthing-and-electrical-grounding-types-of-earthing.html" TargetMode="External"/><Relationship Id="rId36" Type="http://schemas.openxmlformats.org/officeDocument/2006/relationships/image" Target="media/image7.png"/><Relationship Id="rId10" Type="http://schemas.openxmlformats.org/officeDocument/2006/relationships/hyperlink" Target="https://www.electricaltechnology.org/2018/02/design-earthing-grounding-substation-grid.html" TargetMode="External"/><Relationship Id="rId19" Type="http://schemas.openxmlformats.org/officeDocument/2006/relationships/image" Target="media/image1.jpeg"/><Relationship Id="rId31" Type="http://schemas.openxmlformats.org/officeDocument/2006/relationships/hyperlink" Target="https://www.electricaltechnology.org/2018/02/short-circuit-currents-and-symmetrical-components.html" TargetMode="External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electricaltechnology.org/2018/02/design-earthing-grounding-substation-grid.html" TargetMode="External"/><Relationship Id="rId14" Type="http://schemas.openxmlformats.org/officeDocument/2006/relationships/hyperlink" Target="https://www.electricaltechnology.org/2018/02/design-earthing-grounding-substation-grid.html" TargetMode="External"/><Relationship Id="rId22" Type="http://schemas.openxmlformats.org/officeDocument/2006/relationships/hyperlink" Target="https://www.electricaltechnology.org/2015/01/supermesh-circuit-analysis-step-step-solved-example.html" TargetMode="External"/><Relationship Id="rId27" Type="http://schemas.openxmlformats.org/officeDocument/2006/relationships/hyperlink" Target="https://www.electricaltechnology.org/2013/05/typical-ac-power-supply-system-scheme.html" TargetMode="External"/><Relationship Id="rId30" Type="http://schemas.openxmlformats.org/officeDocument/2006/relationships/hyperlink" Target="https://www.electricaltechnology.org/2020/07/difference-between-grounding-earthing-bonding.html" TargetMode="External"/><Relationship Id="rId35" Type="http://schemas.openxmlformats.org/officeDocument/2006/relationships/image" Target="media/image6.png"/><Relationship Id="rId43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1506</Words>
  <Characters>8589</Characters>
  <Application>Microsoft Office Word</Application>
  <DocSecurity>0</DocSecurity>
  <Lines>71</Lines>
  <Paragraphs>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6</vt:i4>
      </vt:variant>
    </vt:vector>
  </HeadingPairs>
  <TitlesOfParts>
    <vt:vector size="7" baseType="lpstr">
      <vt:lpstr/>
      <vt:lpstr>Design of Grounding / Earthing System in a Substation Grid</vt:lpstr>
      <vt:lpstr>    Design of Earthing / Grounding System in a Substation Grid</vt:lpstr>
      <vt:lpstr>        Introduction to Substation Earthing Grid </vt:lpstr>
      <vt:lpstr>        Important formulas for Designing a Substation Grid Earthing System</vt:lpstr>
      <vt:lpstr>        Resistance of the Earth Grid/</vt:lpstr>
      <vt:lpstr>        Substation Earthing Grid</vt:lpstr>
    </vt:vector>
  </TitlesOfParts>
  <Company>Sydney TAFE</Company>
  <LinksUpToDate>false</LinksUpToDate>
  <CharactersWithSpaces>10075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 (Joe) Kyaw Naing</dc:creator>
  <cp:keywords/>
  <dc:description/>
  <cp:lastModifiedBy>U (Joe) Kyaw Naing</cp:lastModifiedBy>
  <cp:revision>1</cp:revision>
  <dcterms:created xsi:type="dcterms:W3CDTF">2020-10-21T01:09:00Z</dcterms:created>
  <dcterms:modified xsi:type="dcterms:W3CDTF">2020-10-21T01:09:00Z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1124e982-4ed1-4819-8c70-4a27f3d38393_Enabled">
    <vt:lpwstr>true</vt:lpwstr>
  </property>
  <property fmtid="{D5CDD505-2E9C-101B-9397-08002B2CF9AE}" pid="3" name="MSIP_Label_1124e982-4ed1-4819-8c70-4a27f3d38393_SetDate">
    <vt:lpwstr>2020-10-21T01:09:43Z</vt:lpwstr>
  </property>
  <property fmtid="{D5CDD505-2E9C-101B-9397-08002B2CF9AE}" pid="4" name="MSIP_Label_1124e982-4ed1-4819-8c70-4a27f3d38393_Method">
    <vt:lpwstr>Standard</vt:lpwstr>
  </property>
  <property fmtid="{D5CDD505-2E9C-101B-9397-08002B2CF9AE}" pid="5" name="MSIP_Label_1124e982-4ed1-4819-8c70-4a27f3d38393_Name">
    <vt:lpwstr>No DLM Required</vt:lpwstr>
  </property>
  <property fmtid="{D5CDD505-2E9C-101B-9397-08002B2CF9AE}" pid="6" name="MSIP_Label_1124e982-4ed1-4819-8c70-4a27f3d38393_SiteId">
    <vt:lpwstr>19537222-55d7-4581-84fb-c2da6e835c74</vt:lpwstr>
  </property>
  <property fmtid="{D5CDD505-2E9C-101B-9397-08002B2CF9AE}" pid="7" name="MSIP_Label_1124e982-4ed1-4819-8c70-4a27f3d38393_ActionId">
    <vt:lpwstr>75b41316-4311-4cdc-9657-0000522a3c23</vt:lpwstr>
  </property>
  <property fmtid="{D5CDD505-2E9C-101B-9397-08002B2CF9AE}" pid="8" name="MSIP_Label_1124e982-4ed1-4819-8c70-4a27f3d38393_ContentBits">
    <vt:lpwstr>0</vt:lpwstr>
  </property>
</Properties>
</file>